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F" w:rsidRDefault="0044724F" w:rsidP="00DE50D9">
      <w:pPr>
        <w:pStyle w:val="berschrift2"/>
        <w:spacing w:before="116" w:line="220" w:lineRule="auto"/>
        <w:ind w:left="417" w:right="1801"/>
        <w:rPr>
          <w:color w:val="1D1D1B"/>
          <w:w w:val="85"/>
        </w:rPr>
      </w:pPr>
    </w:p>
    <w:p w:rsidR="00DE50D9" w:rsidRPr="00302B74" w:rsidRDefault="00DE50D9" w:rsidP="00DE50D9">
      <w:pPr>
        <w:pStyle w:val="berschrift2"/>
        <w:spacing w:before="116" w:line="220" w:lineRule="auto"/>
        <w:ind w:left="417" w:right="1801"/>
        <w:rPr>
          <w:color w:val="1D1D1B"/>
          <w:w w:val="85"/>
        </w:rPr>
      </w:pPr>
      <w:r w:rsidRPr="00302B74">
        <w:rPr>
          <w:noProof/>
          <w:color w:val="1D1D1B"/>
          <w:w w:val="85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411934" wp14:editId="4C70B77B">
                <wp:simplePos x="0" y="0"/>
                <wp:positionH relativeFrom="page">
                  <wp:posOffset>386715</wp:posOffset>
                </wp:positionH>
                <wp:positionV relativeFrom="paragraph">
                  <wp:posOffset>726440</wp:posOffset>
                </wp:positionV>
                <wp:extent cx="6659880" cy="0"/>
                <wp:effectExtent l="15240" t="12065" r="11430" b="6985"/>
                <wp:wrapTopAndBottom/>
                <wp:docPr id="2912" name="Line 2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45pt,57.2pt" to="554.8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>Argumentationsmodell:</w:t>
      </w:r>
      <w:r w:rsidRPr="00302B74">
        <w:rPr>
          <w:color w:val="1D1D1B"/>
          <w:w w:val="85"/>
        </w:rPr>
        <w:t xml:space="preserve"> </w:t>
      </w:r>
      <w:r>
        <w:rPr>
          <w:color w:val="1D1D1B"/>
          <w:w w:val="85"/>
        </w:rPr>
        <w:t>So</w:t>
      </w:r>
      <w:r w:rsidRPr="00302B74">
        <w:rPr>
          <w:color w:val="1D1D1B"/>
          <w:w w:val="85"/>
        </w:rPr>
        <w:t xml:space="preserve"> </w:t>
      </w:r>
      <w:r>
        <w:rPr>
          <w:color w:val="1D1D1B"/>
          <w:w w:val="85"/>
        </w:rPr>
        <w:t>bauen</w:t>
      </w:r>
      <w:r w:rsidRPr="00302B74">
        <w:rPr>
          <w:color w:val="1D1D1B"/>
          <w:w w:val="85"/>
        </w:rPr>
        <w:t xml:space="preserve"> </w:t>
      </w:r>
      <w:r>
        <w:rPr>
          <w:color w:val="1D1D1B"/>
          <w:w w:val="85"/>
        </w:rPr>
        <w:t>Sie</w:t>
      </w:r>
      <w:r w:rsidRPr="00302B74">
        <w:rPr>
          <w:color w:val="1D1D1B"/>
          <w:w w:val="85"/>
        </w:rPr>
        <w:t xml:space="preserve"> </w:t>
      </w:r>
      <w:r>
        <w:rPr>
          <w:color w:val="1D1D1B"/>
          <w:w w:val="85"/>
        </w:rPr>
        <w:t>ein</w:t>
      </w:r>
      <w:r w:rsidRPr="00302B74">
        <w:rPr>
          <w:color w:val="1D1D1B"/>
          <w:w w:val="85"/>
        </w:rPr>
        <w:t xml:space="preserve"> </w:t>
      </w:r>
      <w:r>
        <w:rPr>
          <w:color w:val="1D1D1B"/>
          <w:w w:val="85"/>
        </w:rPr>
        <w:t>Standpunktgespräch</w:t>
      </w:r>
      <w:r w:rsidRPr="00302B74">
        <w:rPr>
          <w:color w:val="1D1D1B"/>
          <w:w w:val="85"/>
        </w:rPr>
        <w:t xml:space="preserve"> </w:t>
      </w:r>
      <w:r>
        <w:rPr>
          <w:color w:val="1D1D1B"/>
          <w:w w:val="85"/>
        </w:rPr>
        <w:t xml:space="preserve">auf </w:t>
      </w:r>
      <w:r w:rsidRPr="00302B74">
        <w:rPr>
          <w:color w:val="1D1D1B"/>
          <w:w w:val="85"/>
        </w:rPr>
        <w:t>(1/2)</w:t>
      </w:r>
    </w:p>
    <w:p w:rsidR="00DE50D9" w:rsidRDefault="00DE50D9" w:rsidP="00DE50D9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82"/>
      </w:tblGrid>
      <w:tr w:rsidR="00DE50D9" w:rsidTr="00414113">
        <w:trPr>
          <w:trHeight w:val="803"/>
        </w:trPr>
        <w:tc>
          <w:tcPr>
            <w:tcW w:w="3397" w:type="dxa"/>
          </w:tcPr>
          <w:p w:rsidR="00DE50D9" w:rsidRDefault="00DE50D9" w:rsidP="00414113">
            <w:pPr>
              <w:pStyle w:val="TableParagraph"/>
              <w:spacing w:before="22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Standpunktmodell</w:t>
            </w:r>
            <w:proofErr w:type="spellEnd"/>
          </w:p>
        </w:tc>
        <w:tc>
          <w:tcPr>
            <w:tcW w:w="7082" w:type="dxa"/>
          </w:tcPr>
          <w:p w:rsidR="00DE50D9" w:rsidRDefault="00DE50D9" w:rsidP="00414113">
            <w:pPr>
              <w:pStyle w:val="TableParagraph"/>
              <w:spacing w:before="227"/>
              <w:ind w:left="283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Argumentationsbeispiel</w:t>
            </w:r>
            <w:proofErr w:type="spellEnd"/>
          </w:p>
        </w:tc>
      </w:tr>
      <w:tr w:rsidR="00DE50D9" w:rsidTr="00414113">
        <w:trPr>
          <w:trHeight w:val="2310"/>
        </w:trPr>
        <w:tc>
          <w:tcPr>
            <w:tcW w:w="3397" w:type="dxa"/>
          </w:tcPr>
          <w:p w:rsidR="00DE50D9" w:rsidRDefault="00DE50D9" w:rsidP="00414113">
            <w:pPr>
              <w:pStyle w:val="TableParagraph"/>
              <w:spacing w:before="7"/>
              <w:rPr>
                <w:rFonts w:ascii="Century Gothic"/>
                <w:sz w:val="29"/>
              </w:rPr>
            </w:pPr>
          </w:p>
          <w:p w:rsidR="00DE50D9" w:rsidRDefault="00DE50D9" w:rsidP="00414113">
            <w:pPr>
              <w:pStyle w:val="TableParagraph"/>
              <w:spacing w:line="268" w:lineRule="auto"/>
              <w:ind w:left="165" w:right="42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Nennen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Ihren</w:t>
            </w:r>
            <w:proofErr w:type="spellEnd"/>
            <w:r>
              <w:rPr>
                <w:b/>
                <w:color w:val="1D1D1B"/>
                <w:sz w:val="24"/>
              </w:rPr>
              <w:t xml:space="preserve"> Stand- </w:t>
            </w:r>
            <w:proofErr w:type="spellStart"/>
            <w:r>
              <w:rPr>
                <w:b/>
                <w:color w:val="1D1D1B"/>
                <w:sz w:val="24"/>
              </w:rPr>
              <w:t>punkt</w:t>
            </w:r>
            <w:proofErr w:type="spellEnd"/>
          </w:p>
        </w:tc>
        <w:tc>
          <w:tcPr>
            <w:tcW w:w="7082" w:type="dxa"/>
          </w:tcPr>
          <w:p w:rsidR="00DE50D9" w:rsidRDefault="00DE50D9" w:rsidP="00414113">
            <w:pPr>
              <w:pStyle w:val="TableParagraph"/>
              <w:spacing w:before="9"/>
              <w:rPr>
                <w:rFonts w:ascii="Century Gothic"/>
                <w:sz w:val="29"/>
              </w:rPr>
            </w:pPr>
          </w:p>
          <w:p w:rsidR="00DE50D9" w:rsidRDefault="00DE50D9" w:rsidP="00414113">
            <w:pPr>
              <w:pStyle w:val="TableParagraph"/>
              <w:spacing w:line="268" w:lineRule="auto"/>
              <w:ind w:left="283" w:right="299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halte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nichts</w:t>
            </w:r>
            <w:proofErr w:type="spellEnd"/>
            <w:r>
              <w:rPr>
                <w:i/>
                <w:color w:val="1D1D1B"/>
                <w:sz w:val="24"/>
              </w:rPr>
              <w:t xml:space="preserve"> von </w:t>
            </w:r>
            <w:proofErr w:type="spellStart"/>
            <w:r>
              <w:rPr>
                <w:i/>
                <w:color w:val="1D1D1B"/>
                <w:sz w:val="24"/>
              </w:rPr>
              <w:t>Ihrer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Entscheidung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ins Gym- </w:t>
            </w:r>
            <w:proofErr w:type="spellStart"/>
            <w:r>
              <w:rPr>
                <w:i/>
                <w:color w:val="1D1D1B"/>
                <w:sz w:val="24"/>
              </w:rPr>
              <w:t>nasium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übertreten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lassen</w:t>
            </w:r>
            <w:proofErr w:type="spellEnd"/>
            <w:r>
              <w:rPr>
                <w:i/>
                <w:color w:val="1D1D1B"/>
                <w:sz w:val="24"/>
              </w:rPr>
              <w:t xml:space="preserve">. Der </w:t>
            </w:r>
            <w:proofErr w:type="spellStart"/>
            <w:r>
              <w:rPr>
                <w:i/>
                <w:color w:val="1D1D1B"/>
                <w:sz w:val="24"/>
              </w:rPr>
              <w:t>Austausch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Lehrerin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Kindes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bestätigt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meine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Meinung</w:t>
            </w:r>
            <w:proofErr w:type="spellEnd"/>
            <w:r>
              <w:rPr>
                <w:i/>
                <w:color w:val="1D1D1B"/>
                <w:sz w:val="24"/>
              </w:rPr>
              <w:t xml:space="preserve">. Die </w:t>
            </w:r>
            <w:proofErr w:type="spellStart"/>
            <w:r>
              <w:rPr>
                <w:i/>
                <w:color w:val="1D1D1B"/>
                <w:sz w:val="24"/>
              </w:rPr>
              <w:t>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und der </w:t>
            </w:r>
            <w:proofErr w:type="spellStart"/>
            <w:r>
              <w:rPr>
                <w:i/>
                <w:color w:val="1D1D1B"/>
                <w:sz w:val="24"/>
              </w:rPr>
              <w:t>Kinderhort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sind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Ansicht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Übertritt</w:t>
            </w:r>
            <w:proofErr w:type="spellEnd"/>
            <w:r>
              <w:rPr>
                <w:i/>
                <w:color w:val="1D1D1B"/>
                <w:sz w:val="24"/>
              </w:rPr>
              <w:t xml:space="preserve"> auf die Real- </w:t>
            </w:r>
            <w:proofErr w:type="spellStart"/>
            <w:r>
              <w:rPr>
                <w:i/>
                <w:color w:val="1D1D1B"/>
                <w:sz w:val="24"/>
              </w:rPr>
              <w:t>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förderlicher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wäre</w:t>
            </w:r>
            <w:proofErr w:type="spellEnd"/>
            <w:r>
              <w:rPr>
                <w:i/>
                <w:color w:val="1D1D1B"/>
                <w:sz w:val="24"/>
              </w:rPr>
              <w:t>.“</w:t>
            </w:r>
          </w:p>
        </w:tc>
      </w:tr>
      <w:tr w:rsidR="00DE50D9" w:rsidTr="00414113">
        <w:trPr>
          <w:trHeight w:val="4929"/>
        </w:trPr>
        <w:tc>
          <w:tcPr>
            <w:tcW w:w="3397" w:type="dxa"/>
          </w:tcPr>
          <w:p w:rsidR="00DE50D9" w:rsidRDefault="00DE50D9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DE50D9" w:rsidRDefault="00DE50D9" w:rsidP="00414113">
            <w:pPr>
              <w:pStyle w:val="TableParagraph"/>
              <w:spacing w:before="180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Begründen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Sicht</w:t>
            </w:r>
            <w:proofErr w:type="spellEnd"/>
          </w:p>
        </w:tc>
        <w:tc>
          <w:tcPr>
            <w:tcW w:w="7082" w:type="dxa"/>
          </w:tcPr>
          <w:p w:rsidR="00DE50D9" w:rsidRDefault="00DE50D9" w:rsidP="00414113">
            <w:pPr>
              <w:pStyle w:val="TableParagraph"/>
              <w:rPr>
                <w:rFonts w:ascii="Century Gothic"/>
                <w:sz w:val="26"/>
              </w:rPr>
            </w:pPr>
          </w:p>
          <w:p w:rsidR="00DE50D9" w:rsidRDefault="00DE50D9" w:rsidP="00414113">
            <w:pPr>
              <w:pStyle w:val="TableParagraph"/>
              <w:spacing w:before="225" w:line="264" w:lineRule="auto"/>
              <w:ind w:left="283" w:right="258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„Die </w:t>
            </w:r>
            <w:proofErr w:type="spellStart"/>
            <w:r>
              <w:rPr>
                <w:i/>
                <w:color w:val="1D1D1B"/>
                <w:sz w:val="24"/>
              </w:rPr>
              <w:t>Anforderungen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gramStart"/>
            <w:r>
              <w:rPr>
                <w:i/>
                <w:color w:val="1D1D1B"/>
                <w:sz w:val="24"/>
              </w:rPr>
              <w:t>an</w:t>
            </w:r>
            <w:proofErr w:type="gram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Realschule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sind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so </w:t>
            </w:r>
            <w:proofErr w:type="spellStart"/>
            <w:r>
              <w:rPr>
                <w:i/>
                <w:color w:val="1D1D1B"/>
                <w:sz w:val="24"/>
              </w:rPr>
              <w:t>hoch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am Gymnasium. Das </w:t>
            </w:r>
            <w:proofErr w:type="spellStart"/>
            <w:r>
              <w:rPr>
                <w:i/>
                <w:color w:val="1D1D1B"/>
                <w:sz w:val="24"/>
              </w:rPr>
              <w:t>Lerntempo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dort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weniger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schnell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gibt</w:t>
            </w:r>
            <w:proofErr w:type="spellEnd"/>
            <w:r>
              <w:rPr>
                <w:i/>
                <w:color w:val="1D1D1B"/>
                <w:sz w:val="24"/>
              </w:rPr>
              <w:t xml:space="preserve"> in </w:t>
            </w:r>
            <w:proofErr w:type="spellStart"/>
            <w:r>
              <w:rPr>
                <w:i/>
                <w:color w:val="1D1D1B"/>
                <w:sz w:val="24"/>
              </w:rPr>
              <w:t>allen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Fächern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mehr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Wiederholungen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Dadurch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kann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anpassen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besser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orientieren</w:t>
            </w:r>
            <w:proofErr w:type="spellEnd"/>
            <w:r>
              <w:rPr>
                <w:i/>
                <w:color w:val="1D1D1B"/>
                <w:sz w:val="24"/>
              </w:rPr>
              <w:t>.</w:t>
            </w:r>
          </w:p>
          <w:p w:rsidR="00DE50D9" w:rsidRDefault="00DE50D9" w:rsidP="00414113">
            <w:pPr>
              <w:pStyle w:val="TableParagraph"/>
              <w:spacing w:before="8"/>
              <w:rPr>
                <w:rFonts w:ascii="Century Gothic"/>
                <w:sz w:val="20"/>
              </w:rPr>
            </w:pPr>
          </w:p>
          <w:p w:rsidR="00DE50D9" w:rsidRDefault="00DE50D9" w:rsidP="00414113">
            <w:pPr>
              <w:pStyle w:val="TableParagraph"/>
              <w:spacing w:line="261" w:lineRule="auto"/>
              <w:ind w:left="283" w:right="299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Gymnasium </w:t>
            </w:r>
            <w:proofErr w:type="spellStart"/>
            <w:r>
              <w:rPr>
                <w:i/>
                <w:color w:val="1D1D1B"/>
                <w:sz w:val="24"/>
              </w:rPr>
              <w:t>kommt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sofort</w:t>
            </w:r>
            <w:proofErr w:type="spellEnd"/>
            <w:r>
              <w:rPr>
                <w:i/>
                <w:color w:val="1D1D1B"/>
                <w:sz w:val="24"/>
              </w:rPr>
              <w:t xml:space="preserve"> die 2. </w:t>
            </w:r>
            <w:proofErr w:type="spellStart"/>
            <w:r>
              <w:rPr>
                <w:i/>
                <w:color w:val="1D1D1B"/>
                <w:sz w:val="24"/>
              </w:rPr>
              <w:t>Fremdsprache</w:t>
            </w:r>
            <w:proofErr w:type="spellEnd"/>
            <w:r>
              <w:rPr>
                <w:i/>
                <w:color w:val="1D1D1B"/>
                <w:sz w:val="24"/>
              </w:rPr>
              <w:t xml:space="preserve"> auf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. Seine </w:t>
            </w:r>
            <w:proofErr w:type="spellStart"/>
            <w:r>
              <w:rPr>
                <w:i/>
                <w:color w:val="1D1D1B"/>
                <w:sz w:val="24"/>
              </w:rPr>
              <w:t>starken</w:t>
            </w:r>
            <w:proofErr w:type="spellEnd"/>
            <w:r>
              <w:rPr>
                <w:i/>
                <w:color w:val="1D1D1B"/>
                <w:sz w:val="24"/>
              </w:rPr>
              <w:t xml:space="preserve"> Seiten </w:t>
            </w:r>
            <w:proofErr w:type="spellStart"/>
            <w:r>
              <w:rPr>
                <w:i/>
                <w:color w:val="1D1D1B"/>
                <w:sz w:val="24"/>
              </w:rPr>
              <w:t>liegen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jedoch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sprachlichen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sondern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mathematisch-logischen</w:t>
            </w:r>
            <w:proofErr w:type="spellEnd"/>
            <w:r>
              <w:rPr>
                <w:i/>
                <w:color w:val="1D1D1B"/>
                <w:spacing w:val="-18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Bereich</w:t>
            </w:r>
            <w:proofErr w:type="spellEnd"/>
            <w:r>
              <w:rPr>
                <w:i/>
                <w:color w:val="1D1D1B"/>
                <w:sz w:val="24"/>
              </w:rPr>
              <w:t>.</w:t>
            </w:r>
          </w:p>
          <w:p w:rsidR="00DE50D9" w:rsidRDefault="00DE50D9" w:rsidP="00414113">
            <w:pPr>
              <w:pStyle w:val="TableParagraph"/>
              <w:spacing w:before="3"/>
              <w:rPr>
                <w:rFonts w:ascii="Century Gothic"/>
                <w:sz w:val="21"/>
              </w:rPr>
            </w:pPr>
          </w:p>
          <w:p w:rsidR="00DE50D9" w:rsidRDefault="00DE50D9" w:rsidP="00414113">
            <w:pPr>
              <w:pStyle w:val="TableParagraph"/>
              <w:spacing w:line="259" w:lineRule="auto"/>
              <w:ind w:left="283" w:right="353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Unser </w:t>
            </w:r>
            <w:proofErr w:type="spellStart"/>
            <w:r>
              <w:rPr>
                <w:i/>
                <w:color w:val="1D1D1B"/>
                <w:sz w:val="24"/>
              </w:rPr>
              <w:t>Schulsystem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mehr</w:t>
            </w:r>
            <w:proofErr w:type="spellEnd"/>
            <w:r>
              <w:rPr>
                <w:i/>
                <w:color w:val="1D1D1B"/>
                <w:sz w:val="24"/>
              </w:rPr>
              <w:t xml:space="preserve"> so </w:t>
            </w:r>
            <w:proofErr w:type="spellStart"/>
            <w:r>
              <w:rPr>
                <w:i/>
                <w:color w:val="1D1D1B"/>
                <w:sz w:val="24"/>
              </w:rPr>
              <w:t>festgelegt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früher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mittlerweile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kein</w:t>
            </w:r>
            <w:proofErr w:type="spellEnd"/>
            <w:r>
              <w:rPr>
                <w:i/>
                <w:color w:val="1D1D1B"/>
                <w:sz w:val="24"/>
              </w:rPr>
              <w:t xml:space="preserve"> Problem </w:t>
            </w:r>
            <w:proofErr w:type="spellStart"/>
            <w:r>
              <w:rPr>
                <w:i/>
                <w:color w:val="1D1D1B"/>
                <w:sz w:val="24"/>
              </w:rPr>
              <w:t>mehr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dem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Realschulabschluss</w:t>
            </w:r>
            <w:proofErr w:type="spellEnd"/>
            <w:r>
              <w:rPr>
                <w:i/>
                <w:color w:val="1D1D1B"/>
                <w:sz w:val="24"/>
              </w:rPr>
              <w:t xml:space="preserve"> in </w:t>
            </w:r>
            <w:proofErr w:type="spellStart"/>
            <w:r>
              <w:rPr>
                <w:i/>
                <w:color w:val="1D1D1B"/>
                <w:sz w:val="24"/>
              </w:rPr>
              <w:t>kurzer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Zeit</w:t>
            </w:r>
            <w:proofErr w:type="spellEnd"/>
            <w:r>
              <w:rPr>
                <w:i/>
                <w:color w:val="1D1D1B"/>
                <w:sz w:val="24"/>
              </w:rPr>
              <w:t xml:space="preserve"> das Abitur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pacing w:val="-31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erwerben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DE50D9" w:rsidTr="00414113">
        <w:trPr>
          <w:trHeight w:val="6196"/>
        </w:trPr>
        <w:tc>
          <w:tcPr>
            <w:tcW w:w="3397" w:type="dxa"/>
          </w:tcPr>
          <w:p w:rsidR="00DE50D9" w:rsidRDefault="00DE50D9" w:rsidP="00414113">
            <w:pPr>
              <w:pStyle w:val="TableParagraph"/>
              <w:spacing w:before="11"/>
              <w:rPr>
                <w:rFonts w:ascii="Century Gothic"/>
                <w:sz w:val="36"/>
              </w:rPr>
            </w:pPr>
          </w:p>
          <w:p w:rsidR="00DE50D9" w:rsidRDefault="00DE50D9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Wählen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Beispiele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aus</w:t>
            </w:r>
            <w:proofErr w:type="spellEnd"/>
          </w:p>
        </w:tc>
        <w:tc>
          <w:tcPr>
            <w:tcW w:w="7082" w:type="dxa"/>
          </w:tcPr>
          <w:p w:rsidR="00DE50D9" w:rsidRDefault="00DE50D9" w:rsidP="00414113">
            <w:pPr>
              <w:pStyle w:val="TableParagraph"/>
              <w:spacing w:before="2"/>
              <w:rPr>
                <w:rFonts w:ascii="Century Gothic"/>
                <w:sz w:val="37"/>
              </w:rPr>
            </w:pPr>
          </w:p>
          <w:p w:rsidR="00DE50D9" w:rsidRDefault="00DE50D9" w:rsidP="00414113">
            <w:pPr>
              <w:pStyle w:val="TableParagraph"/>
              <w:spacing w:line="249" w:lineRule="auto"/>
              <w:ind w:left="283" w:right="156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sehr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ehrgeizig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resigniert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jedoch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rasch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wenn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frustriert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oder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merkt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seine Leis-</w:t>
            </w:r>
            <w:proofErr w:type="spellStart"/>
            <w:r>
              <w:rPr>
                <w:i/>
                <w:color w:val="1D1D1B"/>
                <w:sz w:val="24"/>
              </w:rPr>
              <w:t>tungen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nur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mittelmäßige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Ergebnisse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hervorbringen</w:t>
            </w:r>
            <w:proofErr w:type="spellEnd"/>
            <w:r>
              <w:rPr>
                <w:i/>
                <w:color w:val="1D1D1B"/>
                <w:sz w:val="24"/>
              </w:rPr>
              <w:t>. In sol-</w:t>
            </w:r>
            <w:proofErr w:type="spellStart"/>
            <w:r>
              <w:rPr>
                <w:i/>
                <w:color w:val="1D1D1B"/>
                <w:sz w:val="24"/>
              </w:rPr>
              <w:t>chen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Fällen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neigt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dazu</w:t>
            </w:r>
            <w:proofErr w:type="spellEnd"/>
            <w:r>
              <w:rPr>
                <w:i/>
                <w:color w:val="1D1D1B"/>
                <w:sz w:val="24"/>
              </w:rPr>
              <w:t xml:space="preserve">, seine </w:t>
            </w:r>
            <w:proofErr w:type="spellStart"/>
            <w:r>
              <w:rPr>
                <w:i/>
                <w:color w:val="1D1D1B"/>
                <w:sz w:val="24"/>
              </w:rPr>
              <w:t>Leistung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komplett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verweigern</w:t>
            </w:r>
            <w:proofErr w:type="spellEnd"/>
            <w:r>
              <w:rPr>
                <w:i/>
                <w:color w:val="1D1D1B"/>
                <w:sz w:val="24"/>
              </w:rPr>
              <w:t>.</w:t>
            </w:r>
          </w:p>
          <w:p w:rsidR="00DE50D9" w:rsidRDefault="00DE50D9" w:rsidP="00414113">
            <w:pPr>
              <w:pStyle w:val="TableParagraph"/>
              <w:spacing w:before="204" w:line="249" w:lineRule="auto"/>
              <w:ind w:left="283" w:right="159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Erinnern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gramStart"/>
            <w:r>
              <w:rPr>
                <w:i/>
                <w:color w:val="1D1D1B"/>
                <w:sz w:val="24"/>
              </w:rPr>
              <w:t>an</w:t>
            </w:r>
            <w:proofErr w:type="gramEnd"/>
            <w:r>
              <w:rPr>
                <w:i/>
                <w:color w:val="1D1D1B"/>
                <w:sz w:val="24"/>
              </w:rPr>
              <w:t xml:space="preserve"> den </w:t>
            </w:r>
            <w:proofErr w:type="spellStart"/>
            <w:r>
              <w:rPr>
                <w:i/>
                <w:color w:val="1D1D1B"/>
                <w:sz w:val="24"/>
              </w:rPr>
              <w:t>Aufsatz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über</w:t>
            </w:r>
            <w:proofErr w:type="spellEnd"/>
            <w:r>
              <w:rPr>
                <w:i/>
                <w:color w:val="1D1D1B"/>
                <w:sz w:val="24"/>
              </w:rPr>
              <w:t xml:space="preserve"> die </w:t>
            </w:r>
            <w:proofErr w:type="spellStart"/>
            <w:r>
              <w:rPr>
                <w:i/>
                <w:color w:val="1D1D1B"/>
                <w:sz w:val="24"/>
              </w:rPr>
              <w:t>Erlebnisse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während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Sommerferien</w:t>
            </w:r>
            <w:proofErr w:type="spellEnd"/>
            <w:r>
              <w:rPr>
                <w:i/>
                <w:color w:val="1D1D1B"/>
                <w:sz w:val="24"/>
              </w:rPr>
              <w:t xml:space="preserve">?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hatte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fleißig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Hort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Einleitungen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Schlussszenen</w:t>
            </w:r>
            <w:proofErr w:type="spellEnd"/>
            <w:r>
              <w:rPr>
                <w:i/>
                <w:color w:val="1D1D1B"/>
                <w:sz w:val="24"/>
              </w:rPr>
              <w:t xml:space="preserve"> von </w:t>
            </w:r>
            <w:proofErr w:type="spellStart"/>
            <w:r>
              <w:rPr>
                <w:i/>
                <w:color w:val="1D1D1B"/>
                <w:sz w:val="24"/>
              </w:rPr>
              <w:t>Aufsätzen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geübt</w:t>
            </w:r>
            <w:proofErr w:type="spellEnd"/>
            <w:r>
              <w:rPr>
                <w:i/>
                <w:color w:val="1D1D1B"/>
                <w:sz w:val="24"/>
              </w:rPr>
              <w:t xml:space="preserve">. Das </w:t>
            </w:r>
            <w:proofErr w:type="spellStart"/>
            <w:r>
              <w:rPr>
                <w:i/>
                <w:color w:val="1D1D1B"/>
                <w:sz w:val="24"/>
              </w:rPr>
              <w:t>Thema</w:t>
            </w:r>
            <w:proofErr w:type="spellEnd"/>
            <w:r>
              <w:rPr>
                <w:i/>
                <w:color w:val="1D1D1B"/>
                <w:sz w:val="24"/>
              </w:rPr>
              <w:t xml:space="preserve"> „</w:t>
            </w:r>
            <w:proofErr w:type="spellStart"/>
            <w:r>
              <w:rPr>
                <w:i/>
                <w:color w:val="1D1D1B"/>
                <w:sz w:val="24"/>
              </w:rPr>
              <w:t>Ostern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 xml:space="preserve">“ </w:t>
            </w:r>
            <w:proofErr w:type="spellStart"/>
            <w:r>
              <w:rPr>
                <w:i/>
                <w:color w:val="1D1D1B"/>
                <w:sz w:val="24"/>
              </w:rPr>
              <w:t>überraschte</w:t>
            </w:r>
            <w:proofErr w:type="spellEnd"/>
            <w:proofErr w:type="gram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jedoch</w:t>
            </w:r>
            <w:proofErr w:type="spellEnd"/>
            <w:r>
              <w:rPr>
                <w:i/>
                <w:color w:val="1D1D1B"/>
                <w:sz w:val="24"/>
              </w:rPr>
              <w:t xml:space="preserve">. Weil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vermutete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wahrscheinlich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nur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Chancen</w:t>
            </w:r>
            <w:proofErr w:type="spellEnd"/>
            <w:r>
              <w:rPr>
                <w:i/>
                <w:color w:val="1D1D1B"/>
                <w:sz w:val="24"/>
              </w:rPr>
              <w:t xml:space="preserve"> auf </w:t>
            </w:r>
            <w:proofErr w:type="spellStart"/>
            <w:r>
              <w:rPr>
                <w:i/>
                <w:color w:val="1D1D1B"/>
                <w:sz w:val="24"/>
              </w:rPr>
              <w:t>eine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durchschnittliche</w:t>
            </w:r>
            <w:proofErr w:type="spellEnd"/>
            <w:r>
              <w:rPr>
                <w:i/>
                <w:color w:val="1D1D1B"/>
                <w:sz w:val="24"/>
              </w:rPr>
              <w:t xml:space="preserve"> Note in </w:t>
            </w:r>
            <w:proofErr w:type="spellStart"/>
            <w:r>
              <w:rPr>
                <w:i/>
                <w:color w:val="1D1D1B"/>
                <w:sz w:val="24"/>
              </w:rPr>
              <w:t>diesem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Aufsatz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würde</w:t>
            </w:r>
            <w:proofErr w:type="spellEnd"/>
            <w:r>
              <w:rPr>
                <w:i/>
                <w:color w:val="1D1D1B"/>
                <w:sz w:val="24"/>
              </w:rPr>
              <w:t>, gab</w:t>
            </w:r>
            <w:r>
              <w:rPr>
                <w:i/>
                <w:color w:val="1D1D1B"/>
                <w:spacing w:val="-43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während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Klassenarbeit</w:t>
            </w:r>
            <w:proofErr w:type="spellEnd"/>
            <w:r>
              <w:rPr>
                <w:i/>
                <w:color w:val="1D1D1B"/>
                <w:sz w:val="24"/>
              </w:rPr>
              <w:t xml:space="preserve"> auf und </w:t>
            </w:r>
            <w:proofErr w:type="spellStart"/>
            <w:r>
              <w:rPr>
                <w:i/>
                <w:color w:val="1D1D1B"/>
                <w:sz w:val="24"/>
              </w:rPr>
              <w:t>schrieb</w:t>
            </w:r>
            <w:proofErr w:type="spellEnd"/>
            <w:r>
              <w:rPr>
                <w:i/>
                <w:color w:val="1D1D1B"/>
                <w:sz w:val="24"/>
              </w:rPr>
              <w:t xml:space="preserve"> seine </w:t>
            </w:r>
            <w:proofErr w:type="spellStart"/>
            <w:r>
              <w:rPr>
                <w:i/>
                <w:color w:val="1D1D1B"/>
                <w:sz w:val="24"/>
              </w:rPr>
              <w:t>Erzählung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fertig</w:t>
            </w:r>
            <w:proofErr w:type="spellEnd"/>
            <w:r>
              <w:rPr>
                <w:i/>
                <w:color w:val="1D1D1B"/>
                <w:sz w:val="24"/>
              </w:rPr>
              <w:t>.</w:t>
            </w:r>
          </w:p>
          <w:p w:rsidR="00DE50D9" w:rsidRDefault="00DE50D9" w:rsidP="00414113">
            <w:pPr>
              <w:pStyle w:val="TableParagraph"/>
              <w:spacing w:before="208" w:line="249" w:lineRule="auto"/>
              <w:ind w:left="283" w:right="165" w:hanging="1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befürchte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ähnliche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Situationen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häufen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werden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nach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kurzer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Zeit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seinen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Leistungswillen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lieren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aufgeben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wird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</w:tbl>
    <w:p w:rsidR="00E37087" w:rsidRDefault="0044724F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311EEC"/>
    <w:rsid w:val="0044724F"/>
    <w:rsid w:val="00765CD2"/>
    <w:rsid w:val="007A084E"/>
    <w:rsid w:val="008C1905"/>
    <w:rsid w:val="00956A94"/>
    <w:rsid w:val="00A04C10"/>
    <w:rsid w:val="00AB73BF"/>
    <w:rsid w:val="00AF686B"/>
    <w:rsid w:val="00C04418"/>
    <w:rsid w:val="00C92171"/>
    <w:rsid w:val="00D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E50D9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E50D9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E5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E5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E50D9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E50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E50D9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E50D9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E5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E5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E50D9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E50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2019-05-04T13:25:00Z</dcterms:created>
  <dcterms:modified xsi:type="dcterms:W3CDTF">2019-05-05T18:38:00Z</dcterms:modified>
</cp:coreProperties>
</file>