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39" w:rsidRDefault="00944239" w:rsidP="00B77DFB">
      <w:pPr>
        <w:pStyle w:val="berschrift2"/>
        <w:spacing w:before="116" w:line="220" w:lineRule="auto"/>
        <w:rPr>
          <w:color w:val="1D1D1B"/>
          <w:w w:val="80"/>
        </w:rPr>
      </w:pPr>
    </w:p>
    <w:bookmarkStart w:id="0" w:name="_GoBack"/>
    <w:bookmarkEnd w:id="0"/>
    <w:p w:rsidR="00B77DFB" w:rsidRDefault="00B77DFB" w:rsidP="00B77DFB">
      <w:pPr>
        <w:pStyle w:val="berschrift2"/>
        <w:spacing w:before="116" w:line="22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EE7BDD6" wp14:editId="3B6A74AA">
                <wp:simplePos x="0" y="0"/>
                <wp:positionH relativeFrom="page">
                  <wp:posOffset>471170</wp:posOffset>
                </wp:positionH>
                <wp:positionV relativeFrom="paragraph">
                  <wp:posOffset>725805</wp:posOffset>
                </wp:positionV>
                <wp:extent cx="6659880" cy="0"/>
                <wp:effectExtent l="13970" t="11430" r="12700" b="7620"/>
                <wp:wrapTopAndBottom/>
                <wp:docPr id="1289" name="Lin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57.15pt" to="561.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0"/>
        </w:rPr>
        <w:t xml:space="preserve">Argumentationshilfe: Vorbehalte des </w:t>
      </w:r>
      <w:r>
        <w:rPr>
          <w:color w:val="1D1D1B"/>
          <w:spacing w:val="-6"/>
          <w:w w:val="80"/>
        </w:rPr>
        <w:t xml:space="preserve">Teams </w:t>
      </w:r>
      <w:r>
        <w:rPr>
          <w:color w:val="1D1D1B"/>
          <w:w w:val="80"/>
        </w:rPr>
        <w:t xml:space="preserve">Elternbefragungen </w:t>
      </w:r>
      <w:r>
        <w:rPr>
          <w:color w:val="1D1D1B"/>
          <w:w w:val="95"/>
        </w:rPr>
        <w:t>gegenüber</w:t>
      </w:r>
      <w:r>
        <w:rPr>
          <w:color w:val="1D1D1B"/>
          <w:spacing w:val="-51"/>
          <w:w w:val="95"/>
        </w:rPr>
        <w:t xml:space="preserve"> </w:t>
      </w:r>
      <w:r>
        <w:rPr>
          <w:color w:val="1D1D1B"/>
          <w:w w:val="95"/>
        </w:rPr>
        <w:t>und</w:t>
      </w:r>
      <w:r>
        <w:rPr>
          <w:color w:val="1D1D1B"/>
          <w:spacing w:val="-51"/>
          <w:w w:val="95"/>
        </w:rPr>
        <w:t xml:space="preserve"> </w:t>
      </w:r>
      <w:r>
        <w:rPr>
          <w:color w:val="1D1D1B"/>
          <w:w w:val="95"/>
        </w:rPr>
        <w:t>wie</w:t>
      </w:r>
      <w:r>
        <w:rPr>
          <w:color w:val="1D1D1B"/>
          <w:spacing w:val="-51"/>
          <w:w w:val="95"/>
        </w:rPr>
        <w:t xml:space="preserve"> </w:t>
      </w:r>
      <w:r>
        <w:rPr>
          <w:color w:val="1D1D1B"/>
          <w:w w:val="95"/>
        </w:rPr>
        <w:t>Sie diese</w:t>
      </w:r>
      <w:r>
        <w:rPr>
          <w:color w:val="1D1D1B"/>
          <w:spacing w:val="-51"/>
          <w:w w:val="95"/>
        </w:rPr>
        <w:t xml:space="preserve"> </w:t>
      </w:r>
      <w:r>
        <w:rPr>
          <w:color w:val="1D1D1B"/>
          <w:w w:val="95"/>
        </w:rPr>
        <w:t>entkräften</w:t>
      </w:r>
      <w:r>
        <w:rPr>
          <w:color w:val="1D1D1B"/>
          <w:spacing w:val="-51"/>
          <w:w w:val="95"/>
        </w:rPr>
        <w:t xml:space="preserve"> </w:t>
      </w:r>
      <w:r>
        <w:rPr>
          <w:color w:val="1D1D1B"/>
          <w:w w:val="95"/>
        </w:rPr>
        <w:t>können (1/2)</w:t>
      </w:r>
    </w:p>
    <w:p w:rsidR="00B77DFB" w:rsidRDefault="00B77DFB" w:rsidP="00B77DFB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5227"/>
        <w:gridCol w:w="5252"/>
      </w:tblGrid>
      <w:tr w:rsidR="00B77DFB" w:rsidTr="00414113">
        <w:trPr>
          <w:trHeight w:val="1004"/>
        </w:trPr>
        <w:tc>
          <w:tcPr>
            <w:tcW w:w="5227" w:type="dxa"/>
          </w:tcPr>
          <w:p w:rsidR="00B77DFB" w:rsidRDefault="00B77DFB" w:rsidP="00414113">
            <w:pPr>
              <w:pStyle w:val="TableParagraph"/>
              <w:spacing w:before="211"/>
              <w:ind w:left="164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Vorbehalte</w:t>
            </w:r>
            <w:proofErr w:type="spellEnd"/>
            <w:r>
              <w:rPr>
                <w:b/>
                <w:color w:val="1D1D1B"/>
                <w:sz w:val="26"/>
              </w:rPr>
              <w:t xml:space="preserve"> und </w:t>
            </w:r>
            <w:proofErr w:type="spellStart"/>
            <w:r>
              <w:rPr>
                <w:b/>
                <w:color w:val="1D1D1B"/>
                <w:sz w:val="26"/>
              </w:rPr>
              <w:t>Vorurteile</w:t>
            </w:r>
            <w:proofErr w:type="spellEnd"/>
          </w:p>
        </w:tc>
        <w:tc>
          <w:tcPr>
            <w:tcW w:w="5252" w:type="dxa"/>
          </w:tcPr>
          <w:p w:rsidR="00B77DFB" w:rsidRDefault="00B77DFB" w:rsidP="00414113">
            <w:pPr>
              <w:pStyle w:val="TableParagraph"/>
              <w:spacing w:before="212" w:line="225" w:lineRule="auto"/>
              <w:ind w:left="193" w:right="226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Mögliche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Reaktion</w:t>
            </w:r>
            <w:proofErr w:type="spellEnd"/>
            <w:r>
              <w:rPr>
                <w:b/>
                <w:color w:val="1D1D1B"/>
                <w:sz w:val="26"/>
              </w:rPr>
              <w:t xml:space="preserve">, um die </w:t>
            </w:r>
            <w:proofErr w:type="spellStart"/>
            <w:r>
              <w:rPr>
                <w:b/>
                <w:color w:val="1D1D1B"/>
                <w:sz w:val="26"/>
              </w:rPr>
              <w:t>Argumente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zu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entkräften</w:t>
            </w:r>
            <w:proofErr w:type="spellEnd"/>
          </w:p>
        </w:tc>
      </w:tr>
      <w:tr w:rsidR="00B77DFB" w:rsidTr="00414113">
        <w:trPr>
          <w:trHeight w:val="6138"/>
        </w:trPr>
        <w:tc>
          <w:tcPr>
            <w:tcW w:w="5227" w:type="dxa"/>
          </w:tcPr>
          <w:p w:rsidR="00B77DFB" w:rsidRDefault="00B77DFB" w:rsidP="00414113">
            <w:pPr>
              <w:pStyle w:val="TableParagraph"/>
              <w:spacing w:before="10"/>
              <w:rPr>
                <w:rFonts w:ascii="Century Gothic"/>
                <w:sz w:val="25"/>
              </w:rPr>
            </w:pPr>
          </w:p>
          <w:p w:rsidR="00B77DFB" w:rsidRDefault="00B77DFB" w:rsidP="00414113">
            <w:pPr>
              <w:pStyle w:val="TableParagraph"/>
              <w:spacing w:line="264" w:lineRule="auto"/>
              <w:ind w:left="166" w:right="497" w:hanging="2"/>
              <w:jc w:val="both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können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Arbeit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unserer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Kindertageseinrichtung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beurteilen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sind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als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Erzieherin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ausgebildet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5252" w:type="dxa"/>
          </w:tcPr>
          <w:p w:rsidR="00B77DFB" w:rsidRDefault="00B77DFB" w:rsidP="00414113">
            <w:pPr>
              <w:pStyle w:val="TableParagraph"/>
              <w:spacing w:before="2"/>
              <w:rPr>
                <w:rFonts w:ascii="Century Gothic"/>
              </w:rPr>
            </w:pPr>
          </w:p>
          <w:p w:rsidR="00B77DFB" w:rsidRDefault="00B77DFB" w:rsidP="00414113">
            <w:pPr>
              <w:pStyle w:val="TableParagraph"/>
              <w:spacing w:line="268" w:lineRule="auto"/>
              <w:ind w:left="193" w:right="226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Stimmt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Fachfrau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Pädagogik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bleiben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immer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Fragen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deshalb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Inhalte</w:t>
            </w:r>
            <w:proofErr w:type="spellEnd"/>
            <w:r>
              <w:rPr>
                <w:color w:val="1D1D1B"/>
                <w:sz w:val="24"/>
              </w:rPr>
              <w:t xml:space="preserve"> ab,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die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Spezialisten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sind</w:t>
            </w:r>
            <w:proofErr w:type="spellEnd"/>
            <w:r>
              <w:rPr>
                <w:color w:val="1D1D1B"/>
                <w:sz w:val="24"/>
              </w:rPr>
              <w:t>:</w:t>
            </w:r>
          </w:p>
          <w:p w:rsidR="00B77DFB" w:rsidRDefault="00B77DFB" w:rsidP="00414113">
            <w:pPr>
              <w:pStyle w:val="TableParagraph"/>
              <w:spacing w:before="6"/>
              <w:rPr>
                <w:rFonts w:ascii="Century Gothic"/>
                <w:sz w:val="25"/>
              </w:rPr>
            </w:pPr>
          </w:p>
          <w:p w:rsidR="00B77DFB" w:rsidRDefault="00B77DFB" w:rsidP="00B77DFB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Atmosphäre</w:t>
            </w:r>
            <w:proofErr w:type="spellEnd"/>
            <w:r>
              <w:rPr>
                <w:color w:val="1D1D1B"/>
                <w:sz w:val="24"/>
              </w:rPr>
              <w:t xml:space="preserve"> in der</w:t>
            </w:r>
            <w:r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Einrichtung</w:t>
            </w:r>
            <w:proofErr w:type="spellEnd"/>
          </w:p>
          <w:p w:rsidR="00B77DFB" w:rsidRDefault="00B77DFB" w:rsidP="00414113">
            <w:pPr>
              <w:pStyle w:val="TableParagraph"/>
              <w:spacing w:before="1"/>
              <w:rPr>
                <w:rFonts w:ascii="Century Gothic"/>
                <w:sz w:val="28"/>
              </w:rPr>
            </w:pPr>
          </w:p>
          <w:p w:rsidR="00B77DFB" w:rsidRDefault="00B77DFB" w:rsidP="00B77DFB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Freundlichkeit</w:t>
            </w:r>
            <w:proofErr w:type="spellEnd"/>
            <w:r>
              <w:rPr>
                <w:color w:val="1D1D1B"/>
                <w:sz w:val="24"/>
              </w:rPr>
              <w:t xml:space="preserve"> des Personals</w:t>
            </w:r>
          </w:p>
          <w:p w:rsidR="00B77DFB" w:rsidRDefault="00B77DFB" w:rsidP="00414113">
            <w:pPr>
              <w:pStyle w:val="TableParagraph"/>
              <w:spacing w:before="1"/>
              <w:rPr>
                <w:rFonts w:ascii="Century Gothic"/>
                <w:sz w:val="28"/>
              </w:rPr>
            </w:pPr>
          </w:p>
          <w:p w:rsidR="00B77DFB" w:rsidRDefault="00B77DFB" w:rsidP="00B77DFB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Informationen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die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</w:p>
          <w:p w:rsidR="00B77DFB" w:rsidRDefault="00B77DF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B77DFB" w:rsidRDefault="00B77DFB" w:rsidP="00B77DFB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Öffnungszeiten</w:t>
            </w:r>
            <w:proofErr w:type="spellEnd"/>
          </w:p>
          <w:p w:rsidR="00B77DFB" w:rsidRDefault="00B77DFB" w:rsidP="00414113">
            <w:pPr>
              <w:pStyle w:val="TableParagraph"/>
              <w:spacing w:before="1"/>
              <w:rPr>
                <w:rFonts w:ascii="Century Gothic"/>
                <w:sz w:val="28"/>
              </w:rPr>
            </w:pPr>
          </w:p>
          <w:p w:rsidR="00B77DFB" w:rsidRDefault="00B77DFB" w:rsidP="00B77DFB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Beratungsqualitäten</w:t>
            </w:r>
            <w:proofErr w:type="spellEnd"/>
            <w:r>
              <w:rPr>
                <w:color w:val="1D1D1B"/>
                <w:sz w:val="24"/>
              </w:rPr>
              <w:t xml:space="preserve"> in der</w:t>
            </w:r>
            <w:r>
              <w:rPr>
                <w:color w:val="1D1D1B"/>
                <w:spacing w:val="7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Einrichtung</w:t>
            </w:r>
            <w:proofErr w:type="spellEnd"/>
          </w:p>
          <w:p w:rsidR="00B77DFB" w:rsidRDefault="00B77DFB" w:rsidP="00414113">
            <w:pPr>
              <w:pStyle w:val="TableParagraph"/>
              <w:spacing w:before="1"/>
              <w:rPr>
                <w:rFonts w:ascii="Century Gothic"/>
                <w:sz w:val="28"/>
              </w:rPr>
            </w:pPr>
          </w:p>
          <w:p w:rsidR="00B77DFB" w:rsidRDefault="00B77DFB" w:rsidP="00B77DFB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Eindruck</w:t>
            </w:r>
            <w:proofErr w:type="spellEnd"/>
            <w:r>
              <w:rPr>
                <w:color w:val="1D1D1B"/>
                <w:sz w:val="24"/>
              </w:rPr>
              <w:t xml:space="preserve"> von der</w:t>
            </w:r>
            <w:r>
              <w:rPr>
                <w:color w:val="1D1D1B"/>
                <w:spacing w:val="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Anmeldesituation</w:t>
            </w:r>
            <w:proofErr w:type="spellEnd"/>
          </w:p>
          <w:p w:rsidR="00B77DFB" w:rsidRDefault="00B77DF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B77DFB" w:rsidRDefault="00B77DFB" w:rsidP="00B77DFB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Zufriedenheit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der</w:t>
            </w:r>
            <w:r>
              <w:rPr>
                <w:color w:val="1D1D1B"/>
                <w:spacing w:val="1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Kindertagesstätte</w:t>
            </w:r>
            <w:proofErr w:type="spellEnd"/>
          </w:p>
        </w:tc>
      </w:tr>
      <w:tr w:rsidR="00B77DFB" w:rsidTr="00414113">
        <w:trPr>
          <w:trHeight w:val="4001"/>
        </w:trPr>
        <w:tc>
          <w:tcPr>
            <w:tcW w:w="5227" w:type="dxa"/>
          </w:tcPr>
          <w:p w:rsidR="00B77DFB" w:rsidRDefault="00B77DF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B77DFB" w:rsidRDefault="00B77DFB" w:rsidP="00414113">
            <w:pPr>
              <w:pStyle w:val="TableParagraph"/>
              <w:spacing w:before="4"/>
              <w:rPr>
                <w:rFonts w:ascii="Century Gothic"/>
                <w:sz w:val="27"/>
              </w:rPr>
            </w:pPr>
          </w:p>
          <w:p w:rsidR="00B77DFB" w:rsidRDefault="00B77DFB" w:rsidP="00414113">
            <w:pPr>
              <w:pStyle w:val="TableParagraph"/>
              <w:spacing w:line="280" w:lineRule="auto"/>
              <w:ind w:left="166" w:right="496" w:hanging="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nehmen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nur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subjektiv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Sicht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Kindes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wahr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5252" w:type="dxa"/>
          </w:tcPr>
          <w:p w:rsidR="00B77DFB" w:rsidRDefault="00B77DF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B77DFB" w:rsidRDefault="00B77DF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B77DFB" w:rsidRDefault="00B77DFB" w:rsidP="00414113">
            <w:pPr>
              <w:pStyle w:val="TableParagraph"/>
              <w:spacing w:line="268" w:lineRule="auto"/>
              <w:ind w:left="193" w:right="226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Auch</w:t>
            </w:r>
            <w:proofErr w:type="spellEnd"/>
            <w:r>
              <w:rPr>
                <w:color w:val="1D1D1B"/>
                <w:sz w:val="24"/>
              </w:rPr>
              <w:t xml:space="preserve"> dies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Tatsache</w:t>
            </w:r>
            <w:proofErr w:type="spellEnd"/>
            <w:r>
              <w:rPr>
                <w:color w:val="1D1D1B"/>
                <w:sz w:val="24"/>
              </w:rPr>
              <w:t xml:space="preserve">, die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Fragestellung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berücksichtigen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müssen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Jede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Befragung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Stimmungsbild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zeigt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momentane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Befindlichkeiten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B77DFB" w:rsidRDefault="00B77DFB" w:rsidP="00414113">
            <w:pPr>
              <w:pStyle w:val="TableParagraph"/>
              <w:spacing w:before="7"/>
              <w:rPr>
                <w:rFonts w:ascii="Century Gothic"/>
                <w:sz w:val="25"/>
              </w:rPr>
            </w:pPr>
          </w:p>
          <w:p w:rsidR="00B77DFB" w:rsidRDefault="00B77DFB" w:rsidP="00414113">
            <w:pPr>
              <w:pStyle w:val="TableParagraph"/>
              <w:spacing w:line="268" w:lineRule="auto"/>
              <w:ind w:left="193" w:right="265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Und </w:t>
            </w:r>
            <w:proofErr w:type="spellStart"/>
            <w:r>
              <w:rPr>
                <w:color w:val="1D1D1B"/>
                <w:sz w:val="24"/>
              </w:rPr>
              <w:t>genau</w:t>
            </w:r>
            <w:proofErr w:type="spellEnd"/>
            <w:r>
              <w:rPr>
                <w:color w:val="1D1D1B"/>
                <w:sz w:val="24"/>
              </w:rPr>
              <w:t xml:space="preserve"> das </w:t>
            </w:r>
            <w:proofErr w:type="spellStart"/>
            <w:r>
              <w:rPr>
                <w:color w:val="1D1D1B"/>
                <w:sz w:val="24"/>
              </w:rPr>
              <w:t>sollte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interessieren</w:t>
            </w:r>
            <w:proofErr w:type="spellEnd"/>
            <w:r>
              <w:rPr>
                <w:color w:val="1D1D1B"/>
                <w:sz w:val="24"/>
              </w:rPr>
              <w:t xml:space="preserve">: Welches </w:t>
            </w:r>
            <w:proofErr w:type="spellStart"/>
            <w:r>
              <w:rPr>
                <w:color w:val="1D1D1B"/>
                <w:sz w:val="24"/>
              </w:rPr>
              <w:t>Bild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haben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, und </w:t>
            </w:r>
            <w:proofErr w:type="spellStart"/>
            <w:r>
              <w:rPr>
                <w:color w:val="1D1D1B"/>
                <w:sz w:val="24"/>
              </w:rPr>
              <w:t>wie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ernst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genommen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wertgeschätzt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fühlen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</w:tr>
      <w:tr w:rsidR="00B77DFB" w:rsidTr="00414113">
        <w:trPr>
          <w:trHeight w:val="3096"/>
        </w:trPr>
        <w:tc>
          <w:tcPr>
            <w:tcW w:w="5227" w:type="dxa"/>
          </w:tcPr>
          <w:p w:rsidR="00B77DFB" w:rsidRDefault="00B77DF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B77DFB" w:rsidRDefault="00B77DFB" w:rsidP="00414113">
            <w:pPr>
              <w:pStyle w:val="TableParagraph"/>
              <w:spacing w:before="10"/>
              <w:rPr>
                <w:rFonts w:ascii="Century Gothic"/>
                <w:sz w:val="28"/>
              </w:rPr>
            </w:pPr>
          </w:p>
          <w:p w:rsidR="00B77DFB" w:rsidRDefault="00B77DFB" w:rsidP="00414113">
            <w:pPr>
              <w:pStyle w:val="TableParagraph"/>
              <w:spacing w:before="1" w:line="256" w:lineRule="auto"/>
              <w:ind w:left="166" w:right="496" w:hanging="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Elternbefragungen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bestätigen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Querulanten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unter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5252" w:type="dxa"/>
          </w:tcPr>
          <w:p w:rsidR="00B77DFB" w:rsidRDefault="00B77DF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B77DFB" w:rsidRDefault="00B77DFB" w:rsidP="00414113">
            <w:pPr>
              <w:pStyle w:val="TableParagraph"/>
              <w:spacing w:before="2"/>
              <w:rPr>
                <w:rFonts w:ascii="Century Gothic"/>
                <w:sz w:val="25"/>
              </w:rPr>
            </w:pPr>
          </w:p>
          <w:p w:rsidR="00B77DFB" w:rsidRDefault="00B77DFB" w:rsidP="00414113">
            <w:pPr>
              <w:pStyle w:val="TableParagraph"/>
              <w:spacing w:before="1" w:line="285" w:lineRule="auto"/>
              <w:ind w:left="193" w:right="439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Genau</w:t>
            </w:r>
            <w:proofErr w:type="spellEnd"/>
            <w:r>
              <w:rPr>
                <w:color w:val="1D1D1B"/>
                <w:sz w:val="24"/>
              </w:rPr>
              <w:t xml:space="preserve"> das </w:t>
            </w:r>
            <w:proofErr w:type="spellStart"/>
            <w:r>
              <w:rPr>
                <w:color w:val="1D1D1B"/>
                <w:sz w:val="24"/>
              </w:rPr>
              <w:t>Gegenteil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der Fall. </w:t>
            </w:r>
            <w:proofErr w:type="spellStart"/>
            <w:r>
              <w:rPr>
                <w:color w:val="1D1D1B"/>
                <w:sz w:val="24"/>
              </w:rPr>
              <w:t>Durch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Elternbefragung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erhalten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</w:p>
          <w:p w:rsidR="00B77DFB" w:rsidRDefault="00B77DFB" w:rsidP="00414113">
            <w:pPr>
              <w:pStyle w:val="TableParagraph"/>
              <w:spacing w:line="257" w:lineRule="exact"/>
              <w:ind w:left="193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Stimmungsbild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aller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. Das </w:t>
            </w:r>
            <w:proofErr w:type="spellStart"/>
            <w:r>
              <w:rPr>
                <w:color w:val="1D1D1B"/>
                <w:sz w:val="24"/>
              </w:rPr>
              <w:t>überkritische</w:t>
            </w:r>
            <w:proofErr w:type="spellEnd"/>
          </w:p>
          <w:p w:rsidR="00B77DFB" w:rsidRDefault="00B77DFB" w:rsidP="00414113">
            <w:pPr>
              <w:pStyle w:val="TableParagraph"/>
              <w:spacing w:before="27" w:line="261" w:lineRule="auto"/>
              <w:ind w:left="193" w:right="36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Urteil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einiger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Lucida Sans"/>
                <w:color w:val="1D1D1B"/>
                <w:sz w:val="24"/>
              </w:rPr>
              <w:t>geht</w:t>
            </w:r>
            <w:proofErr w:type="spellEnd"/>
            <w:r>
              <w:rPr>
                <w:rFonts w:ascii="Lucida Sans"/>
                <w:color w:val="1D1D1B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 xml:space="preserve">in der Regel in der Masse der </w:t>
            </w:r>
            <w:proofErr w:type="spellStart"/>
            <w:r>
              <w:rPr>
                <w:color w:val="1D1D1B"/>
                <w:sz w:val="24"/>
              </w:rPr>
              <w:t>wohlwollenden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Beurteilungen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unter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</w:tr>
    </w:tbl>
    <w:p w:rsidR="00E37087" w:rsidRDefault="00944239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974"/>
    <w:multiLevelType w:val="hybridMultilevel"/>
    <w:tmpl w:val="187CB7D8"/>
    <w:lvl w:ilvl="0" w:tplc="68A29CDC">
      <w:numFmt w:val="bullet"/>
      <w:lvlText w:val="–"/>
      <w:lvlJc w:val="left"/>
      <w:pPr>
        <w:ind w:left="380" w:hanging="187"/>
      </w:pPr>
      <w:rPr>
        <w:rFonts w:ascii="Arial" w:eastAsia="Arial" w:hAnsi="Arial" w:cs="Arial" w:hint="default"/>
        <w:color w:val="1D1D1B"/>
        <w:w w:val="89"/>
        <w:sz w:val="24"/>
        <w:szCs w:val="24"/>
        <w:lang w:val="de-DE" w:eastAsia="de-DE" w:bidi="de-DE"/>
      </w:rPr>
    </w:lvl>
    <w:lvl w:ilvl="1" w:tplc="1688BA20">
      <w:numFmt w:val="bullet"/>
      <w:lvlText w:val="•"/>
      <w:lvlJc w:val="left"/>
      <w:pPr>
        <w:ind w:left="866" w:hanging="187"/>
      </w:pPr>
      <w:rPr>
        <w:rFonts w:hint="default"/>
        <w:lang w:val="de-DE" w:eastAsia="de-DE" w:bidi="de-DE"/>
      </w:rPr>
    </w:lvl>
    <w:lvl w:ilvl="2" w:tplc="F030177C">
      <w:numFmt w:val="bullet"/>
      <w:lvlText w:val="•"/>
      <w:lvlJc w:val="left"/>
      <w:pPr>
        <w:ind w:left="1352" w:hanging="187"/>
      </w:pPr>
      <w:rPr>
        <w:rFonts w:hint="default"/>
        <w:lang w:val="de-DE" w:eastAsia="de-DE" w:bidi="de-DE"/>
      </w:rPr>
    </w:lvl>
    <w:lvl w:ilvl="3" w:tplc="52A60F50">
      <w:numFmt w:val="bullet"/>
      <w:lvlText w:val="•"/>
      <w:lvlJc w:val="left"/>
      <w:pPr>
        <w:ind w:left="1838" w:hanging="187"/>
      </w:pPr>
      <w:rPr>
        <w:rFonts w:hint="default"/>
        <w:lang w:val="de-DE" w:eastAsia="de-DE" w:bidi="de-DE"/>
      </w:rPr>
    </w:lvl>
    <w:lvl w:ilvl="4" w:tplc="F5D0C7F0">
      <w:numFmt w:val="bullet"/>
      <w:lvlText w:val="•"/>
      <w:lvlJc w:val="left"/>
      <w:pPr>
        <w:ind w:left="2324" w:hanging="187"/>
      </w:pPr>
      <w:rPr>
        <w:rFonts w:hint="default"/>
        <w:lang w:val="de-DE" w:eastAsia="de-DE" w:bidi="de-DE"/>
      </w:rPr>
    </w:lvl>
    <w:lvl w:ilvl="5" w:tplc="DCF66A8C">
      <w:numFmt w:val="bullet"/>
      <w:lvlText w:val="•"/>
      <w:lvlJc w:val="left"/>
      <w:pPr>
        <w:ind w:left="2811" w:hanging="187"/>
      </w:pPr>
      <w:rPr>
        <w:rFonts w:hint="default"/>
        <w:lang w:val="de-DE" w:eastAsia="de-DE" w:bidi="de-DE"/>
      </w:rPr>
    </w:lvl>
    <w:lvl w:ilvl="6" w:tplc="1508469A">
      <w:numFmt w:val="bullet"/>
      <w:lvlText w:val="•"/>
      <w:lvlJc w:val="left"/>
      <w:pPr>
        <w:ind w:left="3297" w:hanging="187"/>
      </w:pPr>
      <w:rPr>
        <w:rFonts w:hint="default"/>
        <w:lang w:val="de-DE" w:eastAsia="de-DE" w:bidi="de-DE"/>
      </w:rPr>
    </w:lvl>
    <w:lvl w:ilvl="7" w:tplc="F7C24F22">
      <w:numFmt w:val="bullet"/>
      <w:lvlText w:val="•"/>
      <w:lvlJc w:val="left"/>
      <w:pPr>
        <w:ind w:left="3783" w:hanging="187"/>
      </w:pPr>
      <w:rPr>
        <w:rFonts w:hint="default"/>
        <w:lang w:val="de-DE" w:eastAsia="de-DE" w:bidi="de-DE"/>
      </w:rPr>
    </w:lvl>
    <w:lvl w:ilvl="8" w:tplc="5B508492">
      <w:numFmt w:val="bullet"/>
      <w:lvlText w:val="•"/>
      <w:lvlJc w:val="left"/>
      <w:pPr>
        <w:ind w:left="4269" w:hanging="18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A1A91"/>
    <w:rsid w:val="000B3651"/>
    <w:rsid w:val="0012682C"/>
    <w:rsid w:val="00131FF0"/>
    <w:rsid w:val="00190248"/>
    <w:rsid w:val="0020657D"/>
    <w:rsid w:val="0027182A"/>
    <w:rsid w:val="002A46D8"/>
    <w:rsid w:val="002A6C21"/>
    <w:rsid w:val="002B3FE8"/>
    <w:rsid w:val="00311EEC"/>
    <w:rsid w:val="00427CB8"/>
    <w:rsid w:val="004509D0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91A95"/>
    <w:rsid w:val="008C1905"/>
    <w:rsid w:val="009105F1"/>
    <w:rsid w:val="00912BEA"/>
    <w:rsid w:val="00944239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B77DFB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B77DFB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B77D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77D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77DFB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77D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B77DFB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B77DFB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B77D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77D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77DFB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77D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2019-05-04T13:54:00Z</dcterms:created>
  <dcterms:modified xsi:type="dcterms:W3CDTF">2019-05-05T18:37:00Z</dcterms:modified>
</cp:coreProperties>
</file>