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4AA" w:rsidRDefault="00F674AA" w:rsidP="00071CB1">
      <w:pPr>
        <w:pStyle w:val="berschrift2"/>
        <w:spacing w:before="116" w:line="220" w:lineRule="auto"/>
        <w:rPr>
          <w:color w:val="1D1D1B"/>
          <w:w w:val="80"/>
        </w:rPr>
      </w:pPr>
    </w:p>
    <w:bookmarkStart w:id="0" w:name="_GoBack"/>
    <w:bookmarkEnd w:id="0"/>
    <w:p w:rsidR="00071CB1" w:rsidRDefault="00071CB1" w:rsidP="00071CB1">
      <w:pPr>
        <w:pStyle w:val="berschrift2"/>
        <w:spacing w:before="116" w:line="220" w:lineRule="auto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530B9F8" wp14:editId="195B4839">
                <wp:simplePos x="0" y="0"/>
                <wp:positionH relativeFrom="page">
                  <wp:posOffset>471170</wp:posOffset>
                </wp:positionH>
                <wp:positionV relativeFrom="paragraph">
                  <wp:posOffset>725805</wp:posOffset>
                </wp:positionV>
                <wp:extent cx="6659880" cy="0"/>
                <wp:effectExtent l="13970" t="11430" r="12700" b="7620"/>
                <wp:wrapTopAndBottom/>
                <wp:docPr id="1266" name="Line 1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68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.1pt,57.15pt" to="561.5pt,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" strokecolor="#1d1d1b" strokeweight="1pt">
                <w10:wrap type="topAndBottom" anchorx="page"/>
              </v:line>
            </w:pict>
          </mc:Fallback>
        </mc:AlternateContent>
      </w:r>
      <w:r>
        <w:rPr>
          <w:color w:val="1D1D1B"/>
          <w:w w:val="80"/>
        </w:rPr>
        <w:t xml:space="preserve">Argumentationshilfe: Vorbehalte des </w:t>
      </w:r>
      <w:r>
        <w:rPr>
          <w:color w:val="1D1D1B"/>
          <w:spacing w:val="-6"/>
          <w:w w:val="80"/>
        </w:rPr>
        <w:t xml:space="preserve">Teams </w:t>
      </w:r>
      <w:r>
        <w:rPr>
          <w:color w:val="1D1D1B"/>
          <w:w w:val="80"/>
        </w:rPr>
        <w:t xml:space="preserve">Elternbefragungen </w:t>
      </w:r>
      <w:r>
        <w:rPr>
          <w:color w:val="1D1D1B"/>
          <w:w w:val="95"/>
        </w:rPr>
        <w:t>gegenüber</w:t>
      </w:r>
      <w:r>
        <w:rPr>
          <w:color w:val="1D1D1B"/>
          <w:spacing w:val="-51"/>
          <w:w w:val="95"/>
        </w:rPr>
        <w:t xml:space="preserve"> </w:t>
      </w:r>
      <w:r>
        <w:rPr>
          <w:color w:val="1D1D1B"/>
          <w:w w:val="95"/>
        </w:rPr>
        <w:t>und</w:t>
      </w:r>
      <w:r>
        <w:rPr>
          <w:color w:val="1D1D1B"/>
          <w:spacing w:val="-51"/>
          <w:w w:val="95"/>
        </w:rPr>
        <w:t xml:space="preserve"> </w:t>
      </w:r>
      <w:r>
        <w:rPr>
          <w:color w:val="1D1D1B"/>
          <w:w w:val="95"/>
        </w:rPr>
        <w:t>wie</w:t>
      </w:r>
      <w:r>
        <w:rPr>
          <w:color w:val="1D1D1B"/>
          <w:spacing w:val="-51"/>
          <w:w w:val="95"/>
        </w:rPr>
        <w:t xml:space="preserve"> </w:t>
      </w:r>
      <w:r>
        <w:rPr>
          <w:color w:val="1D1D1B"/>
          <w:w w:val="95"/>
        </w:rPr>
        <w:t>Sie diese</w:t>
      </w:r>
      <w:r>
        <w:rPr>
          <w:color w:val="1D1D1B"/>
          <w:spacing w:val="-51"/>
          <w:w w:val="95"/>
        </w:rPr>
        <w:t xml:space="preserve"> </w:t>
      </w:r>
      <w:r>
        <w:rPr>
          <w:color w:val="1D1D1B"/>
          <w:w w:val="95"/>
        </w:rPr>
        <w:t>entkräften</w:t>
      </w:r>
      <w:r>
        <w:rPr>
          <w:color w:val="1D1D1B"/>
          <w:spacing w:val="-51"/>
          <w:w w:val="95"/>
        </w:rPr>
        <w:t xml:space="preserve"> </w:t>
      </w:r>
      <w:r>
        <w:rPr>
          <w:color w:val="1D1D1B"/>
          <w:w w:val="95"/>
        </w:rPr>
        <w:t>können (2/2)</w:t>
      </w:r>
    </w:p>
    <w:p w:rsidR="00071CB1" w:rsidRDefault="00071CB1" w:rsidP="00071CB1">
      <w:pPr>
        <w:pStyle w:val="Textkrper"/>
        <w:spacing w:before="2"/>
        <w:rPr>
          <w:rFonts w:ascii="Century Gothic"/>
          <w:sz w:val="12"/>
        </w:rPr>
      </w:pPr>
    </w:p>
    <w:tbl>
      <w:tblPr>
        <w:tblStyle w:val="TableNormal"/>
        <w:tblW w:w="0" w:type="auto"/>
        <w:tblInd w:w="531" w:type="dxa"/>
        <w:tblBorders>
          <w:top w:val="single" w:sz="4" w:space="0" w:color="1D1D1B"/>
          <w:left w:val="single" w:sz="4" w:space="0" w:color="1D1D1B"/>
          <w:bottom w:val="single" w:sz="4" w:space="0" w:color="1D1D1B"/>
          <w:right w:val="single" w:sz="4" w:space="0" w:color="1D1D1B"/>
          <w:insideH w:val="single" w:sz="4" w:space="0" w:color="1D1D1B"/>
          <w:insideV w:val="single" w:sz="4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5227"/>
        <w:gridCol w:w="5252"/>
      </w:tblGrid>
      <w:tr w:rsidR="00071CB1" w:rsidTr="00414113">
        <w:trPr>
          <w:trHeight w:val="1402"/>
        </w:trPr>
        <w:tc>
          <w:tcPr>
            <w:tcW w:w="5227" w:type="dxa"/>
            <w:tcBorders>
              <w:bottom w:val="single" w:sz="8" w:space="0" w:color="1D1D1B"/>
            </w:tcBorders>
          </w:tcPr>
          <w:p w:rsidR="00071CB1" w:rsidRDefault="00071CB1" w:rsidP="00414113">
            <w:pPr>
              <w:pStyle w:val="TableParagraph"/>
              <w:spacing w:before="11"/>
              <w:rPr>
                <w:rFonts w:ascii="Century Gothic"/>
                <w:sz w:val="38"/>
              </w:rPr>
            </w:pPr>
          </w:p>
          <w:p w:rsidR="00071CB1" w:rsidRDefault="00071CB1" w:rsidP="00414113">
            <w:pPr>
              <w:pStyle w:val="TableParagraph"/>
              <w:ind w:left="165"/>
              <w:rPr>
                <w:b/>
                <w:sz w:val="26"/>
              </w:rPr>
            </w:pPr>
            <w:proofErr w:type="spellStart"/>
            <w:r>
              <w:rPr>
                <w:b/>
                <w:color w:val="1D1D1B"/>
                <w:sz w:val="26"/>
              </w:rPr>
              <w:t>Vorbehalte</w:t>
            </w:r>
            <w:proofErr w:type="spellEnd"/>
            <w:r>
              <w:rPr>
                <w:b/>
                <w:color w:val="1D1D1B"/>
                <w:sz w:val="26"/>
              </w:rPr>
              <w:t xml:space="preserve"> und </w:t>
            </w:r>
            <w:proofErr w:type="spellStart"/>
            <w:r>
              <w:rPr>
                <w:b/>
                <w:color w:val="1D1D1B"/>
                <w:sz w:val="26"/>
              </w:rPr>
              <w:t>Vorurteile</w:t>
            </w:r>
            <w:proofErr w:type="spellEnd"/>
          </w:p>
        </w:tc>
        <w:tc>
          <w:tcPr>
            <w:tcW w:w="5252" w:type="dxa"/>
            <w:tcBorders>
              <w:bottom w:val="single" w:sz="8" w:space="0" w:color="1D1D1B"/>
            </w:tcBorders>
          </w:tcPr>
          <w:p w:rsidR="00071CB1" w:rsidRDefault="00071CB1" w:rsidP="00414113">
            <w:pPr>
              <w:pStyle w:val="TableParagraph"/>
              <w:spacing w:before="1"/>
              <w:rPr>
                <w:rFonts w:ascii="Century Gothic"/>
                <w:sz w:val="40"/>
              </w:rPr>
            </w:pPr>
          </w:p>
          <w:p w:rsidR="00071CB1" w:rsidRDefault="00071CB1" w:rsidP="00414113">
            <w:pPr>
              <w:pStyle w:val="TableParagraph"/>
              <w:spacing w:line="225" w:lineRule="auto"/>
              <w:ind w:left="193" w:right="226"/>
              <w:rPr>
                <w:b/>
                <w:sz w:val="26"/>
              </w:rPr>
            </w:pPr>
            <w:proofErr w:type="spellStart"/>
            <w:r>
              <w:rPr>
                <w:b/>
                <w:color w:val="1D1D1B"/>
                <w:sz w:val="26"/>
              </w:rPr>
              <w:t>Mögliche</w:t>
            </w:r>
            <w:proofErr w:type="spellEnd"/>
            <w:r>
              <w:rPr>
                <w:b/>
                <w:color w:val="1D1D1B"/>
                <w:sz w:val="26"/>
              </w:rPr>
              <w:t xml:space="preserve"> </w:t>
            </w:r>
            <w:proofErr w:type="spellStart"/>
            <w:r>
              <w:rPr>
                <w:b/>
                <w:color w:val="1D1D1B"/>
                <w:sz w:val="26"/>
              </w:rPr>
              <w:t>Reaktion</w:t>
            </w:r>
            <w:proofErr w:type="spellEnd"/>
            <w:r>
              <w:rPr>
                <w:b/>
                <w:color w:val="1D1D1B"/>
                <w:sz w:val="26"/>
              </w:rPr>
              <w:t xml:space="preserve">, um die </w:t>
            </w:r>
            <w:proofErr w:type="spellStart"/>
            <w:r>
              <w:rPr>
                <w:b/>
                <w:color w:val="1D1D1B"/>
                <w:sz w:val="26"/>
              </w:rPr>
              <w:t>Argumente</w:t>
            </w:r>
            <w:proofErr w:type="spellEnd"/>
            <w:r>
              <w:rPr>
                <w:b/>
                <w:color w:val="1D1D1B"/>
                <w:sz w:val="26"/>
              </w:rPr>
              <w:t xml:space="preserve"> </w:t>
            </w:r>
            <w:proofErr w:type="spellStart"/>
            <w:r>
              <w:rPr>
                <w:b/>
                <w:color w:val="1D1D1B"/>
                <w:sz w:val="26"/>
              </w:rPr>
              <w:t>zu</w:t>
            </w:r>
            <w:proofErr w:type="spellEnd"/>
            <w:r>
              <w:rPr>
                <w:b/>
                <w:color w:val="1D1D1B"/>
                <w:sz w:val="26"/>
              </w:rPr>
              <w:t xml:space="preserve"> </w:t>
            </w:r>
            <w:proofErr w:type="spellStart"/>
            <w:r>
              <w:rPr>
                <w:b/>
                <w:color w:val="1D1D1B"/>
                <w:sz w:val="26"/>
              </w:rPr>
              <w:t>entkräften</w:t>
            </w:r>
            <w:proofErr w:type="spellEnd"/>
          </w:p>
        </w:tc>
      </w:tr>
      <w:tr w:rsidR="00071CB1" w:rsidTr="00414113">
        <w:trPr>
          <w:trHeight w:val="4101"/>
        </w:trPr>
        <w:tc>
          <w:tcPr>
            <w:tcW w:w="5227" w:type="dxa"/>
            <w:tcBorders>
              <w:top w:val="single" w:sz="8" w:space="0" w:color="1D1D1B"/>
              <w:bottom w:val="single" w:sz="8" w:space="0" w:color="1D1D1B"/>
            </w:tcBorders>
          </w:tcPr>
          <w:p w:rsidR="00071CB1" w:rsidRDefault="00071CB1" w:rsidP="00414113">
            <w:pPr>
              <w:pStyle w:val="TableParagraph"/>
              <w:rPr>
                <w:rFonts w:ascii="Century Gothic"/>
                <w:sz w:val="28"/>
              </w:rPr>
            </w:pPr>
          </w:p>
          <w:p w:rsidR="00071CB1" w:rsidRDefault="00071CB1" w:rsidP="00414113">
            <w:pPr>
              <w:pStyle w:val="TableParagraph"/>
              <w:spacing w:before="9"/>
              <w:rPr>
                <w:rFonts w:ascii="Century Gothic"/>
                <w:sz w:val="36"/>
              </w:rPr>
            </w:pPr>
          </w:p>
          <w:p w:rsidR="00071CB1" w:rsidRDefault="00071CB1" w:rsidP="00414113">
            <w:pPr>
              <w:pStyle w:val="TableParagraph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Wir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können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nicht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alle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Wünsche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erfüllen</w:t>
            </w:r>
            <w:proofErr w:type="spellEnd"/>
            <w:r>
              <w:rPr>
                <w:color w:val="1D1D1B"/>
                <w:sz w:val="24"/>
              </w:rPr>
              <w:t>.</w:t>
            </w:r>
          </w:p>
        </w:tc>
        <w:tc>
          <w:tcPr>
            <w:tcW w:w="5252" w:type="dxa"/>
            <w:tcBorders>
              <w:top w:val="single" w:sz="8" w:space="0" w:color="1D1D1B"/>
              <w:bottom w:val="single" w:sz="8" w:space="0" w:color="1D1D1B"/>
            </w:tcBorders>
          </w:tcPr>
          <w:p w:rsidR="00071CB1" w:rsidRDefault="00071CB1" w:rsidP="00414113">
            <w:pPr>
              <w:pStyle w:val="TableParagraph"/>
              <w:rPr>
                <w:rFonts w:ascii="Century Gothic"/>
                <w:sz w:val="28"/>
              </w:rPr>
            </w:pPr>
          </w:p>
          <w:p w:rsidR="00071CB1" w:rsidRDefault="00071CB1" w:rsidP="00414113">
            <w:pPr>
              <w:pStyle w:val="TableParagraph"/>
              <w:spacing w:before="3"/>
              <w:rPr>
                <w:rFonts w:ascii="Century Gothic"/>
                <w:sz w:val="34"/>
              </w:rPr>
            </w:pPr>
          </w:p>
          <w:p w:rsidR="00071CB1" w:rsidRDefault="00071CB1" w:rsidP="00414113">
            <w:pPr>
              <w:pStyle w:val="TableParagraph"/>
              <w:spacing w:line="268" w:lineRule="auto"/>
              <w:ind w:left="193" w:right="132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Deshalb</w:t>
            </w:r>
            <w:proofErr w:type="spellEnd"/>
            <w:r>
              <w:rPr>
                <w:color w:val="1D1D1B"/>
                <w:sz w:val="24"/>
              </w:rPr>
              <w:t xml:space="preserve"> gilt der </w:t>
            </w:r>
            <w:proofErr w:type="spellStart"/>
            <w:r>
              <w:rPr>
                <w:color w:val="1D1D1B"/>
                <w:sz w:val="24"/>
              </w:rPr>
              <w:t>Grundsatz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nur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solche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Inhalte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abzufragen</w:t>
            </w:r>
            <w:proofErr w:type="spellEnd"/>
            <w:r>
              <w:rPr>
                <w:color w:val="1D1D1B"/>
                <w:sz w:val="24"/>
              </w:rPr>
              <w:t xml:space="preserve">, die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auch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zu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ändern</w:t>
            </w:r>
            <w:proofErr w:type="spellEnd"/>
            <w:r>
              <w:rPr>
                <w:color w:val="1D1D1B"/>
                <w:sz w:val="24"/>
              </w:rPr>
              <w:t xml:space="preserve"> in der </w:t>
            </w:r>
            <w:proofErr w:type="spellStart"/>
            <w:r>
              <w:rPr>
                <w:color w:val="1D1D1B"/>
                <w:sz w:val="24"/>
              </w:rPr>
              <w:t>Lage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wären</w:t>
            </w:r>
            <w:proofErr w:type="spellEnd"/>
            <w:r>
              <w:rPr>
                <w:color w:val="1D1D1B"/>
                <w:sz w:val="24"/>
              </w:rPr>
              <w:t xml:space="preserve">, falls </w:t>
            </w:r>
            <w:proofErr w:type="spellStart"/>
            <w:r>
              <w:rPr>
                <w:color w:val="1D1D1B"/>
                <w:sz w:val="24"/>
              </w:rPr>
              <w:t>sich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ein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Bedarf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zeigt</w:t>
            </w:r>
            <w:proofErr w:type="spellEnd"/>
            <w:r>
              <w:rPr>
                <w:color w:val="1D1D1B"/>
                <w:sz w:val="24"/>
              </w:rPr>
              <w:t xml:space="preserve">. </w:t>
            </w:r>
            <w:proofErr w:type="spellStart"/>
            <w:r>
              <w:rPr>
                <w:color w:val="1D1D1B"/>
                <w:sz w:val="24"/>
              </w:rPr>
              <w:t>Zu</w:t>
            </w:r>
            <w:proofErr w:type="spellEnd"/>
            <w:r>
              <w:rPr>
                <w:color w:val="1D1D1B"/>
                <w:sz w:val="24"/>
              </w:rPr>
              <w:t xml:space="preserve"> fest- </w:t>
            </w:r>
            <w:proofErr w:type="spellStart"/>
            <w:r>
              <w:rPr>
                <w:color w:val="1D1D1B"/>
                <w:sz w:val="24"/>
              </w:rPr>
              <w:t>stehenden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Schwerpunkten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wie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beispielsweise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Ihrer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pädagogischen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Arbeit</w:t>
            </w:r>
            <w:proofErr w:type="spellEnd"/>
            <w:r>
              <w:rPr>
                <w:color w:val="1D1D1B"/>
                <w:sz w:val="24"/>
              </w:rPr>
              <w:t xml:space="preserve"> und den </w:t>
            </w:r>
            <w:proofErr w:type="spellStart"/>
            <w:r>
              <w:rPr>
                <w:color w:val="1D1D1B"/>
                <w:sz w:val="24"/>
              </w:rPr>
              <w:t>konzeptionellen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Grundprinzipien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erfragen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nur</w:t>
            </w:r>
            <w:proofErr w:type="spellEnd"/>
            <w:r>
              <w:rPr>
                <w:color w:val="1D1D1B"/>
                <w:sz w:val="24"/>
              </w:rPr>
              <w:t xml:space="preserve"> die </w:t>
            </w:r>
            <w:proofErr w:type="spellStart"/>
            <w:r>
              <w:rPr>
                <w:color w:val="1D1D1B"/>
                <w:sz w:val="24"/>
              </w:rPr>
              <w:t>Zufriedenheit</w:t>
            </w:r>
            <w:proofErr w:type="spellEnd"/>
            <w:r>
              <w:rPr>
                <w:color w:val="1D1D1B"/>
                <w:sz w:val="24"/>
              </w:rPr>
              <w:t xml:space="preserve"> der </w:t>
            </w:r>
            <w:proofErr w:type="spellStart"/>
            <w:r>
              <w:rPr>
                <w:color w:val="1D1D1B"/>
                <w:sz w:val="24"/>
              </w:rPr>
              <w:t>Eltern</w:t>
            </w:r>
            <w:proofErr w:type="spellEnd"/>
            <w:r>
              <w:rPr>
                <w:color w:val="1D1D1B"/>
                <w:sz w:val="24"/>
              </w:rPr>
              <w:t xml:space="preserve"> und </w:t>
            </w:r>
            <w:proofErr w:type="spellStart"/>
            <w:r>
              <w:rPr>
                <w:color w:val="1D1D1B"/>
                <w:sz w:val="24"/>
              </w:rPr>
              <w:t>keinesfalls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Veränderungswünsche</w:t>
            </w:r>
            <w:proofErr w:type="spellEnd"/>
            <w:r>
              <w:rPr>
                <w:color w:val="1D1D1B"/>
                <w:sz w:val="24"/>
              </w:rPr>
              <w:t>.</w:t>
            </w:r>
          </w:p>
        </w:tc>
      </w:tr>
      <w:tr w:rsidR="00071CB1" w:rsidTr="00414113">
        <w:trPr>
          <w:trHeight w:val="8726"/>
        </w:trPr>
        <w:tc>
          <w:tcPr>
            <w:tcW w:w="5227" w:type="dxa"/>
            <w:tcBorders>
              <w:top w:val="single" w:sz="8" w:space="0" w:color="1D1D1B"/>
            </w:tcBorders>
          </w:tcPr>
          <w:p w:rsidR="00071CB1" w:rsidRDefault="00071CB1" w:rsidP="00414113">
            <w:pPr>
              <w:pStyle w:val="TableParagraph"/>
              <w:rPr>
                <w:rFonts w:ascii="Century Gothic"/>
                <w:sz w:val="28"/>
              </w:rPr>
            </w:pPr>
          </w:p>
          <w:p w:rsidR="00071CB1" w:rsidRDefault="00071CB1" w:rsidP="00414113">
            <w:pPr>
              <w:pStyle w:val="TableParagraph"/>
              <w:rPr>
                <w:rFonts w:ascii="Century Gothic"/>
                <w:sz w:val="28"/>
              </w:rPr>
            </w:pPr>
          </w:p>
          <w:p w:rsidR="00071CB1" w:rsidRDefault="00071CB1" w:rsidP="00414113">
            <w:pPr>
              <w:pStyle w:val="TableParagraph"/>
              <w:spacing w:before="6"/>
              <w:rPr>
                <w:rFonts w:ascii="Century Gothic"/>
                <w:sz w:val="26"/>
              </w:rPr>
            </w:pPr>
          </w:p>
          <w:p w:rsidR="00071CB1" w:rsidRDefault="00071CB1" w:rsidP="00414113">
            <w:pPr>
              <w:pStyle w:val="TableParagraph"/>
              <w:spacing w:before="1" w:line="268" w:lineRule="auto"/>
              <w:ind w:left="152" w:right="496" w:firstLine="12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Eltern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urteilen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nur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aus</w:t>
            </w:r>
            <w:proofErr w:type="spellEnd"/>
            <w:r>
              <w:rPr>
                <w:color w:val="1D1D1B"/>
                <w:sz w:val="24"/>
              </w:rPr>
              <w:t xml:space="preserve"> der </w:t>
            </w:r>
            <w:proofErr w:type="spellStart"/>
            <w:r>
              <w:rPr>
                <w:color w:val="1D1D1B"/>
                <w:sz w:val="24"/>
              </w:rPr>
              <w:t>eigenen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Perspektive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heraus</w:t>
            </w:r>
            <w:proofErr w:type="spellEnd"/>
            <w:r>
              <w:rPr>
                <w:color w:val="1D1D1B"/>
                <w:sz w:val="24"/>
              </w:rPr>
              <w:t>.</w:t>
            </w:r>
          </w:p>
        </w:tc>
        <w:tc>
          <w:tcPr>
            <w:tcW w:w="5252" w:type="dxa"/>
            <w:tcBorders>
              <w:top w:val="single" w:sz="8" w:space="0" w:color="1D1D1B"/>
            </w:tcBorders>
          </w:tcPr>
          <w:p w:rsidR="00071CB1" w:rsidRDefault="00071CB1" w:rsidP="00414113">
            <w:pPr>
              <w:pStyle w:val="TableParagraph"/>
              <w:rPr>
                <w:rFonts w:ascii="Century Gothic"/>
                <w:sz w:val="28"/>
              </w:rPr>
            </w:pPr>
          </w:p>
          <w:p w:rsidR="00071CB1" w:rsidRDefault="00071CB1" w:rsidP="00414113">
            <w:pPr>
              <w:pStyle w:val="TableParagraph"/>
              <w:rPr>
                <w:rFonts w:ascii="Century Gothic"/>
                <w:sz w:val="28"/>
              </w:rPr>
            </w:pPr>
          </w:p>
          <w:p w:rsidR="00071CB1" w:rsidRDefault="00071CB1" w:rsidP="00414113">
            <w:pPr>
              <w:pStyle w:val="TableParagraph"/>
              <w:spacing w:before="7"/>
              <w:rPr>
                <w:rFonts w:ascii="Century Gothic"/>
                <w:sz w:val="25"/>
              </w:rPr>
            </w:pPr>
          </w:p>
          <w:p w:rsidR="00071CB1" w:rsidRPr="00D60156" w:rsidRDefault="00071CB1" w:rsidP="00414113">
            <w:pPr>
              <w:pStyle w:val="TableParagraph"/>
              <w:spacing w:line="261" w:lineRule="auto"/>
              <w:ind w:left="193" w:right="226"/>
              <w:rPr>
                <w:color w:val="1D1D1B"/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Aus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diesem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Grund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ist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es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wichtig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dass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alle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Eltern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befragen</w:t>
            </w:r>
            <w:proofErr w:type="spellEnd"/>
            <w:r>
              <w:rPr>
                <w:color w:val="1D1D1B"/>
                <w:sz w:val="24"/>
              </w:rPr>
              <w:t xml:space="preserve"> und </w:t>
            </w:r>
            <w:proofErr w:type="spellStart"/>
            <w:r>
              <w:rPr>
                <w:color w:val="1D1D1B"/>
                <w:sz w:val="24"/>
              </w:rPr>
              <w:t>eine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möglichst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hohe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Beteiligung</w:t>
            </w:r>
            <w:proofErr w:type="spellEnd"/>
            <w:r>
              <w:rPr>
                <w:color w:val="1D1D1B"/>
                <w:sz w:val="24"/>
              </w:rPr>
              <w:t xml:space="preserve"> an der </w:t>
            </w:r>
            <w:proofErr w:type="spellStart"/>
            <w:r>
              <w:rPr>
                <w:color w:val="1D1D1B"/>
                <w:sz w:val="24"/>
              </w:rPr>
              <w:t>Befragung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erwirken</w:t>
            </w:r>
            <w:proofErr w:type="spellEnd"/>
            <w:r>
              <w:rPr>
                <w:color w:val="1D1D1B"/>
                <w:sz w:val="24"/>
              </w:rPr>
              <w:t>.</w:t>
            </w:r>
          </w:p>
          <w:p w:rsidR="00071CB1" w:rsidRPr="00D60156" w:rsidRDefault="00071CB1" w:rsidP="00414113">
            <w:pPr>
              <w:pStyle w:val="TableParagraph"/>
              <w:spacing w:before="3"/>
              <w:rPr>
                <w:color w:val="1D1D1B"/>
                <w:sz w:val="24"/>
              </w:rPr>
            </w:pPr>
          </w:p>
          <w:p w:rsidR="00071CB1" w:rsidRPr="00D60156" w:rsidRDefault="00071CB1" w:rsidP="00414113">
            <w:pPr>
              <w:pStyle w:val="TableParagraph"/>
              <w:spacing w:line="264" w:lineRule="auto"/>
              <w:ind w:left="193" w:right="132"/>
              <w:rPr>
                <w:color w:val="1D1D1B"/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Wenn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Ihnen</w:t>
            </w:r>
            <w:proofErr w:type="spellEnd"/>
            <w:r>
              <w:rPr>
                <w:color w:val="1D1D1B"/>
                <w:sz w:val="24"/>
              </w:rPr>
              <w:t xml:space="preserve"> die </w:t>
            </w:r>
            <w:proofErr w:type="spellStart"/>
            <w:r>
              <w:rPr>
                <w:color w:val="1D1D1B"/>
                <w:sz w:val="24"/>
              </w:rPr>
              <w:t>Meinung</w:t>
            </w:r>
            <w:proofErr w:type="spellEnd"/>
            <w:r>
              <w:rPr>
                <w:color w:val="1D1D1B"/>
                <w:sz w:val="24"/>
              </w:rPr>
              <w:t xml:space="preserve"> der „</w:t>
            </w:r>
            <w:proofErr w:type="spellStart"/>
            <w:r>
              <w:rPr>
                <w:color w:val="1D1D1B"/>
                <w:sz w:val="24"/>
              </w:rPr>
              <w:t>breiten</w:t>
            </w:r>
            <w:proofErr w:type="spellEnd"/>
            <w:r>
              <w:rPr>
                <w:color w:val="1D1D1B"/>
                <w:sz w:val="24"/>
              </w:rPr>
              <w:t xml:space="preserve"> Masse“ </w:t>
            </w:r>
            <w:proofErr w:type="spellStart"/>
            <w:r>
              <w:rPr>
                <w:color w:val="1D1D1B"/>
                <w:sz w:val="24"/>
              </w:rPr>
              <w:t>fehlt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erhalten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eventuell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nur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Rückläufe</w:t>
            </w:r>
            <w:proofErr w:type="spellEnd"/>
            <w:r>
              <w:rPr>
                <w:color w:val="1D1D1B"/>
                <w:sz w:val="24"/>
              </w:rPr>
              <w:t xml:space="preserve"> der </w:t>
            </w:r>
            <w:proofErr w:type="spellStart"/>
            <w:r>
              <w:rPr>
                <w:color w:val="1D1D1B"/>
                <w:sz w:val="24"/>
              </w:rPr>
              <w:t>zufriedenen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Elter</w:t>
            </w:r>
            <w:r w:rsidRPr="00D60156">
              <w:rPr>
                <w:color w:val="1D1D1B"/>
                <w:sz w:val="24"/>
              </w:rPr>
              <w:t>n</w:t>
            </w:r>
            <w:proofErr w:type="spellEnd"/>
            <w:r w:rsidRPr="00D60156">
              <w:rPr>
                <w:color w:val="1D1D1B"/>
                <w:sz w:val="24"/>
              </w:rPr>
              <w:t xml:space="preserve">, und </w:t>
            </w:r>
            <w:proofErr w:type="spellStart"/>
            <w:r w:rsidRPr="00D60156">
              <w:rPr>
                <w:color w:val="1D1D1B"/>
                <w:sz w:val="24"/>
              </w:rPr>
              <w:t>wertvolle</w:t>
            </w:r>
            <w:proofErr w:type="spellEnd"/>
            <w:r w:rsidRPr="00D60156">
              <w:rPr>
                <w:color w:val="1D1D1B"/>
                <w:sz w:val="24"/>
              </w:rPr>
              <w:t xml:space="preserve"> </w:t>
            </w:r>
            <w:proofErr w:type="spellStart"/>
            <w:r w:rsidRPr="00D60156">
              <w:rPr>
                <w:color w:val="1D1D1B"/>
                <w:sz w:val="24"/>
              </w:rPr>
              <w:t>Verbesserungsvorschläge</w:t>
            </w:r>
            <w:proofErr w:type="spellEnd"/>
            <w:r w:rsidRPr="00D60156">
              <w:rPr>
                <w:color w:val="1D1D1B"/>
                <w:sz w:val="24"/>
              </w:rPr>
              <w:t xml:space="preserve"> </w:t>
            </w:r>
            <w:proofErr w:type="spellStart"/>
            <w:r w:rsidRPr="00D60156">
              <w:rPr>
                <w:color w:val="1D1D1B"/>
                <w:sz w:val="24"/>
              </w:rPr>
              <w:t>oder</w:t>
            </w:r>
            <w:proofErr w:type="spellEnd"/>
            <w:r w:rsidRPr="00D60156">
              <w:rPr>
                <w:color w:val="1D1D1B"/>
                <w:sz w:val="24"/>
              </w:rPr>
              <w:t xml:space="preserve"> </w:t>
            </w:r>
            <w:proofErr w:type="spellStart"/>
            <w:r w:rsidRPr="00D60156">
              <w:rPr>
                <w:color w:val="1D1D1B"/>
                <w:sz w:val="24"/>
              </w:rPr>
              <w:t>kritische</w:t>
            </w:r>
            <w:proofErr w:type="spellEnd"/>
            <w:r w:rsidRPr="00D60156">
              <w:rPr>
                <w:color w:val="1D1D1B"/>
                <w:sz w:val="24"/>
              </w:rPr>
              <w:t xml:space="preserve"> </w:t>
            </w:r>
            <w:proofErr w:type="spellStart"/>
            <w:r w:rsidRPr="00D60156">
              <w:rPr>
                <w:color w:val="1D1D1B"/>
                <w:sz w:val="24"/>
              </w:rPr>
              <w:t>Meinungen</w:t>
            </w:r>
            <w:proofErr w:type="spellEnd"/>
            <w:r w:rsidRPr="00D60156">
              <w:rPr>
                <w:color w:val="1D1D1B"/>
                <w:sz w:val="24"/>
              </w:rPr>
              <w:t xml:space="preserve"> </w:t>
            </w:r>
            <w:proofErr w:type="spellStart"/>
            <w:r w:rsidRPr="00D60156">
              <w:rPr>
                <w:color w:val="1D1D1B"/>
                <w:sz w:val="24"/>
              </w:rPr>
              <w:t>fehlen</w:t>
            </w:r>
            <w:proofErr w:type="spellEnd"/>
            <w:r w:rsidRPr="00D60156">
              <w:rPr>
                <w:color w:val="1D1D1B"/>
                <w:sz w:val="24"/>
              </w:rPr>
              <w:t xml:space="preserve"> </w:t>
            </w:r>
            <w:proofErr w:type="spellStart"/>
            <w:r w:rsidRPr="00D60156">
              <w:rPr>
                <w:color w:val="1D1D1B"/>
                <w:sz w:val="24"/>
              </w:rPr>
              <w:t>Ihnen</w:t>
            </w:r>
            <w:proofErr w:type="spellEnd"/>
            <w:r w:rsidRPr="00D60156">
              <w:rPr>
                <w:color w:val="1D1D1B"/>
                <w:sz w:val="24"/>
              </w:rPr>
              <w:t>.</w:t>
            </w:r>
          </w:p>
          <w:p w:rsidR="00071CB1" w:rsidRPr="00D60156" w:rsidRDefault="00071CB1" w:rsidP="00414113">
            <w:pPr>
              <w:pStyle w:val="TableParagraph"/>
              <w:spacing w:before="4"/>
              <w:rPr>
                <w:color w:val="1D1D1B"/>
                <w:sz w:val="24"/>
              </w:rPr>
            </w:pPr>
          </w:p>
          <w:p w:rsidR="00071CB1" w:rsidRPr="00D60156" w:rsidRDefault="00071CB1" w:rsidP="00414113">
            <w:pPr>
              <w:pStyle w:val="TableParagraph"/>
              <w:spacing w:line="264" w:lineRule="auto"/>
              <w:ind w:left="193" w:right="116"/>
              <w:rPr>
                <w:color w:val="1D1D1B"/>
                <w:sz w:val="24"/>
              </w:rPr>
            </w:pPr>
            <w:proofErr w:type="spellStart"/>
            <w:r w:rsidRPr="00D60156">
              <w:rPr>
                <w:color w:val="1D1D1B"/>
                <w:sz w:val="24"/>
              </w:rPr>
              <w:t>Vielleicht</w:t>
            </w:r>
            <w:proofErr w:type="spellEnd"/>
            <w:r w:rsidRPr="00D60156">
              <w:rPr>
                <w:color w:val="1D1D1B"/>
                <w:sz w:val="24"/>
              </w:rPr>
              <w:t xml:space="preserve"> </w:t>
            </w:r>
            <w:proofErr w:type="spellStart"/>
            <w:r w:rsidRPr="00D60156">
              <w:rPr>
                <w:color w:val="1D1D1B"/>
                <w:sz w:val="24"/>
              </w:rPr>
              <w:t>erkennen</w:t>
            </w:r>
            <w:proofErr w:type="spellEnd"/>
            <w:r w:rsidRPr="00D60156">
              <w:rPr>
                <w:color w:val="1D1D1B"/>
                <w:sz w:val="24"/>
              </w:rPr>
              <w:t xml:space="preserve"> </w:t>
            </w:r>
            <w:proofErr w:type="spellStart"/>
            <w:r w:rsidRPr="00D60156">
              <w:rPr>
                <w:color w:val="1D1D1B"/>
                <w:sz w:val="24"/>
              </w:rPr>
              <w:t>Sie</w:t>
            </w:r>
            <w:proofErr w:type="spellEnd"/>
            <w:r w:rsidRPr="00D60156">
              <w:rPr>
                <w:color w:val="1D1D1B"/>
                <w:sz w:val="24"/>
              </w:rPr>
              <w:t xml:space="preserve"> </w:t>
            </w:r>
            <w:proofErr w:type="spellStart"/>
            <w:r w:rsidRPr="00D60156">
              <w:rPr>
                <w:color w:val="1D1D1B"/>
                <w:sz w:val="24"/>
              </w:rPr>
              <w:t>auch</w:t>
            </w:r>
            <w:proofErr w:type="spellEnd"/>
            <w:r w:rsidRPr="00D60156">
              <w:rPr>
                <w:color w:val="1D1D1B"/>
                <w:sz w:val="24"/>
              </w:rPr>
              <w:t xml:space="preserve"> </w:t>
            </w:r>
            <w:proofErr w:type="spellStart"/>
            <w:r w:rsidRPr="00D60156">
              <w:rPr>
                <w:color w:val="1D1D1B"/>
                <w:sz w:val="24"/>
              </w:rPr>
              <w:t>aus</w:t>
            </w:r>
            <w:proofErr w:type="spellEnd"/>
            <w:r w:rsidRPr="00D60156">
              <w:rPr>
                <w:color w:val="1D1D1B"/>
                <w:sz w:val="24"/>
              </w:rPr>
              <w:t xml:space="preserve"> </w:t>
            </w:r>
            <w:proofErr w:type="spellStart"/>
            <w:r w:rsidRPr="00D60156">
              <w:rPr>
                <w:color w:val="1D1D1B"/>
                <w:sz w:val="24"/>
              </w:rPr>
              <w:t>solchen</w:t>
            </w:r>
            <w:proofErr w:type="spellEnd"/>
            <w:r w:rsidRPr="00D60156">
              <w:rPr>
                <w:color w:val="1D1D1B"/>
                <w:sz w:val="24"/>
              </w:rPr>
              <w:t xml:space="preserve"> </w:t>
            </w:r>
            <w:proofErr w:type="spellStart"/>
            <w:r w:rsidRPr="00D60156">
              <w:rPr>
                <w:color w:val="1D1D1B"/>
                <w:sz w:val="24"/>
              </w:rPr>
              <w:t>Elternbefragungen</w:t>
            </w:r>
            <w:proofErr w:type="spellEnd"/>
            <w:r w:rsidRPr="00D60156">
              <w:rPr>
                <w:color w:val="1D1D1B"/>
                <w:sz w:val="24"/>
              </w:rPr>
              <w:t xml:space="preserve">, die stark </w:t>
            </w:r>
            <w:proofErr w:type="spellStart"/>
            <w:r w:rsidRPr="00D60156">
              <w:rPr>
                <w:color w:val="1D1D1B"/>
                <w:sz w:val="24"/>
              </w:rPr>
              <w:t>perspektivisch</w:t>
            </w:r>
            <w:proofErr w:type="spellEnd"/>
            <w:r w:rsidRPr="00D60156">
              <w:rPr>
                <w:color w:val="1D1D1B"/>
                <w:sz w:val="24"/>
              </w:rPr>
              <w:t xml:space="preserve"> </w:t>
            </w:r>
            <w:proofErr w:type="spellStart"/>
            <w:r w:rsidRPr="00D60156">
              <w:rPr>
                <w:color w:val="1D1D1B"/>
                <w:sz w:val="24"/>
              </w:rPr>
              <w:t>geprägt</w:t>
            </w:r>
            <w:proofErr w:type="spellEnd"/>
            <w:r w:rsidRPr="00D60156">
              <w:rPr>
                <w:color w:val="1D1D1B"/>
                <w:sz w:val="24"/>
              </w:rPr>
              <w:t xml:space="preserve"> </w:t>
            </w:r>
            <w:proofErr w:type="spellStart"/>
            <w:r w:rsidRPr="00D60156">
              <w:rPr>
                <w:color w:val="1D1D1B"/>
                <w:sz w:val="24"/>
              </w:rPr>
              <w:t>sind</w:t>
            </w:r>
            <w:proofErr w:type="spellEnd"/>
            <w:r w:rsidRPr="00D60156">
              <w:rPr>
                <w:color w:val="1D1D1B"/>
                <w:sz w:val="24"/>
              </w:rPr>
              <w:t xml:space="preserve">, </w:t>
            </w:r>
            <w:proofErr w:type="spellStart"/>
            <w:r w:rsidRPr="00D60156">
              <w:rPr>
                <w:color w:val="1D1D1B"/>
                <w:sz w:val="24"/>
              </w:rPr>
              <w:t>dass</w:t>
            </w:r>
            <w:proofErr w:type="spellEnd"/>
            <w:r w:rsidRPr="00D60156">
              <w:rPr>
                <w:color w:val="1D1D1B"/>
                <w:sz w:val="24"/>
              </w:rPr>
              <w:t xml:space="preserve"> </w:t>
            </w:r>
            <w:proofErr w:type="spellStart"/>
            <w:r w:rsidRPr="00D60156">
              <w:rPr>
                <w:color w:val="1D1D1B"/>
                <w:sz w:val="24"/>
              </w:rPr>
              <w:t>Eltern</w:t>
            </w:r>
            <w:proofErr w:type="spellEnd"/>
            <w:r w:rsidRPr="00D60156">
              <w:rPr>
                <w:color w:val="1D1D1B"/>
                <w:sz w:val="24"/>
              </w:rPr>
              <w:t xml:space="preserve"> </w:t>
            </w:r>
            <w:proofErr w:type="spellStart"/>
            <w:r w:rsidRPr="00D60156">
              <w:rPr>
                <w:color w:val="1D1D1B"/>
                <w:sz w:val="24"/>
              </w:rPr>
              <w:t>zu</w:t>
            </w:r>
            <w:proofErr w:type="spellEnd"/>
            <w:r w:rsidRPr="00D60156">
              <w:rPr>
                <w:color w:val="1D1D1B"/>
                <w:sz w:val="24"/>
              </w:rPr>
              <w:t xml:space="preserve"> </w:t>
            </w:r>
            <w:proofErr w:type="spellStart"/>
            <w:r w:rsidRPr="00D60156">
              <w:rPr>
                <w:color w:val="1D1D1B"/>
                <w:sz w:val="24"/>
              </w:rPr>
              <w:t>wenig</w:t>
            </w:r>
            <w:proofErr w:type="spellEnd"/>
            <w:r w:rsidRPr="00D60156">
              <w:rPr>
                <w:color w:val="1D1D1B"/>
                <w:sz w:val="24"/>
              </w:rPr>
              <w:t xml:space="preserve"> </w:t>
            </w:r>
            <w:proofErr w:type="spellStart"/>
            <w:r w:rsidRPr="00D60156">
              <w:rPr>
                <w:color w:val="1D1D1B"/>
                <w:sz w:val="24"/>
              </w:rPr>
              <w:t>über</w:t>
            </w:r>
            <w:proofErr w:type="spellEnd"/>
            <w:r w:rsidRPr="00D60156">
              <w:rPr>
                <w:color w:val="1D1D1B"/>
                <w:sz w:val="24"/>
              </w:rPr>
              <w:t xml:space="preserve"> die </w:t>
            </w:r>
            <w:proofErr w:type="spellStart"/>
            <w:r w:rsidRPr="00D60156">
              <w:rPr>
                <w:color w:val="1D1D1B"/>
                <w:sz w:val="24"/>
              </w:rPr>
              <w:t>Schwerpunkte</w:t>
            </w:r>
            <w:proofErr w:type="spellEnd"/>
            <w:r w:rsidRPr="00D60156">
              <w:rPr>
                <w:color w:val="1D1D1B"/>
                <w:sz w:val="24"/>
              </w:rPr>
              <w:t xml:space="preserve"> </w:t>
            </w:r>
            <w:proofErr w:type="spellStart"/>
            <w:r w:rsidRPr="00D60156">
              <w:rPr>
                <w:color w:val="1D1D1B"/>
                <w:sz w:val="24"/>
              </w:rPr>
              <w:t>Ihrer</w:t>
            </w:r>
            <w:proofErr w:type="spellEnd"/>
            <w:r w:rsidRPr="00D60156">
              <w:rPr>
                <w:color w:val="1D1D1B"/>
                <w:sz w:val="24"/>
              </w:rPr>
              <w:t xml:space="preserve"> </w:t>
            </w:r>
            <w:proofErr w:type="spellStart"/>
            <w:r w:rsidRPr="00D60156">
              <w:rPr>
                <w:color w:val="1D1D1B"/>
                <w:sz w:val="24"/>
              </w:rPr>
              <w:t>Konzeption</w:t>
            </w:r>
            <w:proofErr w:type="spellEnd"/>
            <w:r w:rsidRPr="00D60156">
              <w:rPr>
                <w:color w:val="1D1D1B"/>
                <w:sz w:val="24"/>
              </w:rPr>
              <w:t xml:space="preserve"> </w:t>
            </w:r>
            <w:proofErr w:type="spellStart"/>
            <w:r w:rsidRPr="00D60156">
              <w:rPr>
                <w:color w:val="1D1D1B"/>
                <w:sz w:val="24"/>
              </w:rPr>
              <w:t>wissen</w:t>
            </w:r>
            <w:proofErr w:type="spellEnd"/>
            <w:r w:rsidRPr="00D60156">
              <w:rPr>
                <w:color w:val="1D1D1B"/>
                <w:sz w:val="24"/>
              </w:rPr>
              <w:t xml:space="preserve"> und </w:t>
            </w:r>
            <w:proofErr w:type="spellStart"/>
            <w:r w:rsidRPr="00D60156">
              <w:rPr>
                <w:color w:val="1D1D1B"/>
                <w:sz w:val="24"/>
              </w:rPr>
              <w:t>es</w:t>
            </w:r>
            <w:proofErr w:type="spellEnd"/>
            <w:r w:rsidRPr="00D60156">
              <w:rPr>
                <w:color w:val="1D1D1B"/>
                <w:sz w:val="24"/>
              </w:rPr>
              <w:t xml:space="preserve"> </w:t>
            </w:r>
            <w:proofErr w:type="spellStart"/>
            <w:r w:rsidRPr="00D60156">
              <w:rPr>
                <w:color w:val="1D1D1B"/>
                <w:sz w:val="24"/>
              </w:rPr>
              <w:t>deshalb</w:t>
            </w:r>
            <w:proofErr w:type="spellEnd"/>
            <w:r w:rsidRPr="00D60156">
              <w:rPr>
                <w:color w:val="1D1D1B"/>
                <w:sz w:val="24"/>
              </w:rPr>
              <w:t xml:space="preserve"> </w:t>
            </w:r>
            <w:proofErr w:type="spellStart"/>
            <w:r w:rsidRPr="00D60156">
              <w:rPr>
                <w:color w:val="1D1D1B"/>
                <w:sz w:val="24"/>
              </w:rPr>
              <w:t>immer</w:t>
            </w:r>
            <w:proofErr w:type="spellEnd"/>
            <w:r w:rsidRPr="00D60156">
              <w:rPr>
                <w:color w:val="1D1D1B"/>
                <w:sz w:val="24"/>
              </w:rPr>
              <w:t xml:space="preserve"> </w:t>
            </w:r>
            <w:proofErr w:type="spellStart"/>
            <w:r w:rsidRPr="00D60156">
              <w:rPr>
                <w:color w:val="1D1D1B"/>
                <w:sz w:val="24"/>
              </w:rPr>
              <w:t>wieder</w:t>
            </w:r>
            <w:proofErr w:type="spellEnd"/>
            <w:r w:rsidRPr="00D60156">
              <w:rPr>
                <w:color w:val="1D1D1B"/>
                <w:sz w:val="24"/>
              </w:rPr>
              <w:t xml:space="preserve"> </w:t>
            </w:r>
            <w:proofErr w:type="spellStart"/>
            <w:r w:rsidRPr="00D60156">
              <w:rPr>
                <w:color w:val="1D1D1B"/>
                <w:sz w:val="24"/>
              </w:rPr>
              <w:t>zu</w:t>
            </w:r>
            <w:proofErr w:type="spellEnd"/>
            <w:r w:rsidRPr="00D60156">
              <w:rPr>
                <w:color w:val="1D1D1B"/>
                <w:sz w:val="24"/>
              </w:rPr>
              <w:t xml:space="preserve"> </w:t>
            </w:r>
            <w:proofErr w:type="spellStart"/>
            <w:r w:rsidRPr="00D60156">
              <w:rPr>
                <w:color w:val="1D1D1B"/>
                <w:sz w:val="24"/>
              </w:rPr>
              <w:t>Missverständnissen</w:t>
            </w:r>
            <w:proofErr w:type="spellEnd"/>
            <w:r w:rsidRPr="00D60156">
              <w:rPr>
                <w:color w:val="1D1D1B"/>
                <w:sz w:val="24"/>
              </w:rPr>
              <w:t xml:space="preserve"> </w:t>
            </w:r>
            <w:proofErr w:type="spellStart"/>
            <w:r w:rsidRPr="00D60156">
              <w:rPr>
                <w:color w:val="1D1D1B"/>
                <w:sz w:val="24"/>
              </w:rPr>
              <w:t>zwischen</w:t>
            </w:r>
            <w:proofErr w:type="spellEnd"/>
            <w:r w:rsidRPr="00D60156">
              <w:rPr>
                <w:color w:val="1D1D1B"/>
                <w:sz w:val="24"/>
              </w:rPr>
              <w:t xml:space="preserve"> den </w:t>
            </w:r>
            <w:proofErr w:type="spellStart"/>
            <w:r w:rsidRPr="00D60156">
              <w:rPr>
                <w:color w:val="1D1D1B"/>
                <w:sz w:val="24"/>
              </w:rPr>
              <w:t>Eltern</w:t>
            </w:r>
            <w:proofErr w:type="spellEnd"/>
            <w:r w:rsidRPr="00D60156">
              <w:rPr>
                <w:color w:val="1D1D1B"/>
                <w:sz w:val="24"/>
              </w:rPr>
              <w:t xml:space="preserve"> und </w:t>
            </w:r>
            <w:proofErr w:type="spellStart"/>
            <w:r w:rsidRPr="00D60156">
              <w:rPr>
                <w:color w:val="1D1D1B"/>
                <w:sz w:val="24"/>
              </w:rPr>
              <w:t>Ihnen</w:t>
            </w:r>
            <w:proofErr w:type="spellEnd"/>
            <w:r w:rsidRPr="00D60156">
              <w:rPr>
                <w:color w:val="1D1D1B"/>
                <w:sz w:val="24"/>
              </w:rPr>
              <w:t xml:space="preserve"> </w:t>
            </w:r>
            <w:proofErr w:type="spellStart"/>
            <w:r w:rsidRPr="00D60156">
              <w:rPr>
                <w:color w:val="1D1D1B"/>
                <w:sz w:val="24"/>
              </w:rPr>
              <w:t>kommt</w:t>
            </w:r>
            <w:proofErr w:type="spellEnd"/>
            <w:r w:rsidRPr="00D60156">
              <w:rPr>
                <w:color w:val="1D1D1B"/>
                <w:sz w:val="24"/>
              </w:rPr>
              <w:t>.</w:t>
            </w:r>
          </w:p>
          <w:p w:rsidR="00071CB1" w:rsidRPr="00D60156" w:rsidRDefault="00071CB1" w:rsidP="00414113">
            <w:pPr>
              <w:pStyle w:val="TableParagraph"/>
              <w:spacing w:before="7"/>
              <w:rPr>
                <w:color w:val="1D1D1B"/>
                <w:sz w:val="24"/>
              </w:rPr>
            </w:pPr>
          </w:p>
          <w:p w:rsidR="00071CB1" w:rsidRDefault="00071CB1" w:rsidP="00414113">
            <w:pPr>
              <w:pStyle w:val="TableParagraph"/>
              <w:spacing w:before="1" w:line="261" w:lineRule="auto"/>
              <w:ind w:left="193" w:right="194"/>
              <w:rPr>
                <w:sz w:val="24"/>
              </w:rPr>
            </w:pPr>
            <w:proofErr w:type="spellStart"/>
            <w:r w:rsidRPr="00D60156">
              <w:rPr>
                <w:color w:val="1D1D1B"/>
                <w:sz w:val="24"/>
              </w:rPr>
              <w:t>Dieser</w:t>
            </w:r>
            <w:proofErr w:type="spellEnd"/>
            <w:r w:rsidRPr="00D60156">
              <w:rPr>
                <w:color w:val="1D1D1B"/>
                <w:sz w:val="24"/>
              </w:rPr>
              <w:t xml:space="preserve"> </w:t>
            </w:r>
            <w:proofErr w:type="spellStart"/>
            <w:r w:rsidRPr="00D60156">
              <w:rPr>
                <w:color w:val="1D1D1B"/>
                <w:sz w:val="24"/>
              </w:rPr>
              <w:t>Erkenntnis</w:t>
            </w:r>
            <w:proofErr w:type="spellEnd"/>
            <w:r w:rsidRPr="00D60156">
              <w:rPr>
                <w:color w:val="1D1D1B"/>
                <w:sz w:val="24"/>
              </w:rPr>
              <w:t xml:space="preserve"> </w:t>
            </w:r>
            <w:proofErr w:type="spellStart"/>
            <w:r w:rsidRPr="00D60156">
              <w:rPr>
                <w:color w:val="1D1D1B"/>
                <w:sz w:val="24"/>
              </w:rPr>
              <w:t>können</w:t>
            </w:r>
            <w:proofErr w:type="spellEnd"/>
            <w:r w:rsidRPr="00D60156">
              <w:rPr>
                <w:color w:val="1D1D1B"/>
                <w:sz w:val="24"/>
              </w:rPr>
              <w:t xml:space="preserve"> </w:t>
            </w:r>
            <w:proofErr w:type="spellStart"/>
            <w:r w:rsidRPr="00D60156">
              <w:rPr>
                <w:color w:val="1D1D1B"/>
                <w:sz w:val="24"/>
              </w:rPr>
              <w:t>Sie</w:t>
            </w:r>
            <w:proofErr w:type="spellEnd"/>
            <w:r w:rsidRPr="00D60156">
              <w:rPr>
                <w:color w:val="1D1D1B"/>
                <w:sz w:val="24"/>
              </w:rPr>
              <w:t xml:space="preserve"> </w:t>
            </w:r>
            <w:proofErr w:type="spellStart"/>
            <w:r w:rsidRPr="00D60156">
              <w:rPr>
                <w:color w:val="1D1D1B"/>
                <w:sz w:val="24"/>
              </w:rPr>
              <w:t>Taten</w:t>
            </w:r>
            <w:proofErr w:type="spellEnd"/>
            <w:r w:rsidRPr="00D60156">
              <w:rPr>
                <w:color w:val="1D1D1B"/>
                <w:sz w:val="24"/>
              </w:rPr>
              <w:t xml:space="preserve"> </w:t>
            </w:r>
            <w:proofErr w:type="spellStart"/>
            <w:r w:rsidRPr="00D60156">
              <w:rPr>
                <w:color w:val="1D1D1B"/>
                <w:sz w:val="24"/>
              </w:rPr>
              <w:t>folgen</w:t>
            </w:r>
            <w:proofErr w:type="spellEnd"/>
            <w:r w:rsidRPr="00D60156">
              <w:rPr>
                <w:color w:val="1D1D1B"/>
                <w:sz w:val="24"/>
              </w:rPr>
              <w:t xml:space="preserve"> </w:t>
            </w:r>
            <w:proofErr w:type="spellStart"/>
            <w:r w:rsidRPr="00D60156">
              <w:rPr>
                <w:color w:val="1D1D1B"/>
                <w:sz w:val="24"/>
              </w:rPr>
              <w:t>lassen</w:t>
            </w:r>
            <w:proofErr w:type="spellEnd"/>
            <w:r w:rsidRPr="00D60156">
              <w:rPr>
                <w:color w:val="1D1D1B"/>
                <w:sz w:val="24"/>
              </w:rPr>
              <w:t xml:space="preserve">, das </w:t>
            </w:r>
            <w:proofErr w:type="spellStart"/>
            <w:r w:rsidRPr="00D60156">
              <w:rPr>
                <w:color w:val="1D1D1B"/>
                <w:sz w:val="24"/>
              </w:rPr>
              <w:t>heißt</w:t>
            </w:r>
            <w:proofErr w:type="spellEnd"/>
            <w:r w:rsidRPr="00D60156">
              <w:rPr>
                <w:color w:val="1D1D1B"/>
                <w:sz w:val="24"/>
              </w:rPr>
              <w:t xml:space="preserve"> Info-</w:t>
            </w:r>
            <w:proofErr w:type="spellStart"/>
            <w:r w:rsidRPr="00D60156">
              <w:rPr>
                <w:color w:val="1D1D1B"/>
                <w:sz w:val="24"/>
              </w:rPr>
              <w:t>El</w:t>
            </w:r>
            <w:r>
              <w:rPr>
                <w:color w:val="1D1D1B"/>
                <w:sz w:val="24"/>
              </w:rPr>
              <w:t>ternabende</w:t>
            </w:r>
            <w:proofErr w:type="spellEnd"/>
            <w:r>
              <w:rPr>
                <w:color w:val="1D1D1B"/>
                <w:sz w:val="24"/>
              </w:rPr>
              <w:t>,</w:t>
            </w:r>
            <w:r w:rsidRPr="00D60156"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klärende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Gespräche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oder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gezieltere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Informationen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bereits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im</w:t>
            </w:r>
            <w:proofErr w:type="spellEnd"/>
            <w:r w:rsidRPr="00D60156"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Anmeldegespräch</w:t>
            </w:r>
            <w:proofErr w:type="spellEnd"/>
            <w:r>
              <w:rPr>
                <w:color w:val="1D1D1B"/>
                <w:sz w:val="24"/>
              </w:rPr>
              <w:t>.</w:t>
            </w:r>
          </w:p>
        </w:tc>
      </w:tr>
    </w:tbl>
    <w:p w:rsidR="00E37087" w:rsidRDefault="00F674AA"/>
    <w:sectPr w:rsidR="00E37087" w:rsidSect="00A04C10">
      <w:pgSz w:w="11906" w:h="16838"/>
      <w:pgMar w:top="0" w:right="238" w:bottom="0" w:left="2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418"/>
    <w:rsid w:val="00023B6D"/>
    <w:rsid w:val="00071CB1"/>
    <w:rsid w:val="00095C98"/>
    <w:rsid w:val="000A1A91"/>
    <w:rsid w:val="000B3651"/>
    <w:rsid w:val="0012682C"/>
    <w:rsid w:val="00131FF0"/>
    <w:rsid w:val="00190248"/>
    <w:rsid w:val="0020657D"/>
    <w:rsid w:val="0027182A"/>
    <w:rsid w:val="002A46D8"/>
    <w:rsid w:val="002A6C21"/>
    <w:rsid w:val="002B3FE8"/>
    <w:rsid w:val="00311EEC"/>
    <w:rsid w:val="00427CB8"/>
    <w:rsid w:val="004509D0"/>
    <w:rsid w:val="004E5E4B"/>
    <w:rsid w:val="004F7DA7"/>
    <w:rsid w:val="005B6EA4"/>
    <w:rsid w:val="00605B86"/>
    <w:rsid w:val="00673C3D"/>
    <w:rsid w:val="00694D23"/>
    <w:rsid w:val="00765CD2"/>
    <w:rsid w:val="007A084E"/>
    <w:rsid w:val="007D4BD6"/>
    <w:rsid w:val="00820FB7"/>
    <w:rsid w:val="008511C8"/>
    <w:rsid w:val="00891A95"/>
    <w:rsid w:val="008C1905"/>
    <w:rsid w:val="009105F1"/>
    <w:rsid w:val="00912BEA"/>
    <w:rsid w:val="00950A9B"/>
    <w:rsid w:val="00956A94"/>
    <w:rsid w:val="00960FFB"/>
    <w:rsid w:val="009E4588"/>
    <w:rsid w:val="00A04C10"/>
    <w:rsid w:val="00AB73BF"/>
    <w:rsid w:val="00AF686B"/>
    <w:rsid w:val="00B179C1"/>
    <w:rsid w:val="00B47A9D"/>
    <w:rsid w:val="00B637F7"/>
    <w:rsid w:val="00B77DFB"/>
    <w:rsid w:val="00BA201F"/>
    <w:rsid w:val="00BD210A"/>
    <w:rsid w:val="00BF3261"/>
    <w:rsid w:val="00C04418"/>
    <w:rsid w:val="00C92171"/>
    <w:rsid w:val="00CA2762"/>
    <w:rsid w:val="00CD177A"/>
    <w:rsid w:val="00CE22CE"/>
    <w:rsid w:val="00CF2B42"/>
    <w:rsid w:val="00D00B3E"/>
    <w:rsid w:val="00D0153D"/>
    <w:rsid w:val="00DE50D9"/>
    <w:rsid w:val="00E00AAA"/>
    <w:rsid w:val="00E6495D"/>
    <w:rsid w:val="00F24172"/>
    <w:rsid w:val="00F4750A"/>
    <w:rsid w:val="00F5718B"/>
    <w:rsid w:val="00F674AA"/>
    <w:rsid w:val="00F735F8"/>
    <w:rsid w:val="00F828FD"/>
    <w:rsid w:val="00FA2E0C"/>
    <w:rsid w:val="00FD3323"/>
    <w:rsid w:val="00FD545D"/>
    <w:rsid w:val="00FF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1"/>
    <w:qFormat/>
    <w:rsid w:val="00071CB1"/>
    <w:pPr>
      <w:widowControl w:val="0"/>
      <w:autoSpaceDE w:val="0"/>
      <w:autoSpaceDN w:val="0"/>
      <w:spacing w:before="85" w:after="0" w:line="240" w:lineRule="auto"/>
      <w:ind w:left="521"/>
      <w:outlineLvl w:val="1"/>
    </w:pPr>
    <w:rPr>
      <w:rFonts w:ascii="Century Gothic" w:eastAsia="Century Gothic" w:hAnsi="Century Gothic" w:cs="Century Gothic"/>
      <w:sz w:val="39"/>
      <w:szCs w:val="39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1"/>
    <w:rsid w:val="00071CB1"/>
    <w:rPr>
      <w:rFonts w:ascii="Century Gothic" w:eastAsia="Century Gothic" w:hAnsi="Century Gothic" w:cs="Century Gothic"/>
      <w:sz w:val="39"/>
      <w:szCs w:val="39"/>
      <w:lang w:eastAsia="de-DE" w:bidi="de-DE"/>
    </w:rPr>
  </w:style>
  <w:style w:type="table" w:customStyle="1" w:styleId="TableNormal">
    <w:name w:val="Table Normal"/>
    <w:uiPriority w:val="2"/>
    <w:semiHidden/>
    <w:unhideWhenUsed/>
    <w:qFormat/>
    <w:rsid w:val="00071C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071CB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071CB1"/>
    <w:rPr>
      <w:rFonts w:ascii="Calibri" w:eastAsia="Calibri" w:hAnsi="Calibri" w:cs="Calibri"/>
      <w:sz w:val="18"/>
      <w:szCs w:val="18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071C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1"/>
    <w:qFormat/>
    <w:rsid w:val="00071CB1"/>
    <w:pPr>
      <w:widowControl w:val="0"/>
      <w:autoSpaceDE w:val="0"/>
      <w:autoSpaceDN w:val="0"/>
      <w:spacing w:before="85" w:after="0" w:line="240" w:lineRule="auto"/>
      <w:ind w:left="521"/>
      <w:outlineLvl w:val="1"/>
    </w:pPr>
    <w:rPr>
      <w:rFonts w:ascii="Century Gothic" w:eastAsia="Century Gothic" w:hAnsi="Century Gothic" w:cs="Century Gothic"/>
      <w:sz w:val="39"/>
      <w:szCs w:val="39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1"/>
    <w:rsid w:val="00071CB1"/>
    <w:rPr>
      <w:rFonts w:ascii="Century Gothic" w:eastAsia="Century Gothic" w:hAnsi="Century Gothic" w:cs="Century Gothic"/>
      <w:sz w:val="39"/>
      <w:szCs w:val="39"/>
      <w:lang w:eastAsia="de-DE" w:bidi="de-DE"/>
    </w:rPr>
  </w:style>
  <w:style w:type="table" w:customStyle="1" w:styleId="TableNormal">
    <w:name w:val="Table Normal"/>
    <w:uiPriority w:val="2"/>
    <w:semiHidden/>
    <w:unhideWhenUsed/>
    <w:qFormat/>
    <w:rsid w:val="00071C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071CB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071CB1"/>
    <w:rPr>
      <w:rFonts w:ascii="Calibri" w:eastAsia="Calibri" w:hAnsi="Calibri" w:cs="Calibri"/>
      <w:sz w:val="18"/>
      <w:szCs w:val="18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071C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Jabe</dc:creator>
  <cp:lastModifiedBy>Jabe</cp:lastModifiedBy>
  <cp:revision>3</cp:revision>
  <dcterms:created xsi:type="dcterms:W3CDTF">2019-05-04T13:54:00Z</dcterms:created>
  <dcterms:modified xsi:type="dcterms:W3CDTF">2019-05-05T18:37:00Z</dcterms:modified>
</cp:coreProperties>
</file>